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BtMBinHV</w:t>
      </w:r>
    </w:p>
    <w:p>
      <w:r>
        <w:rPr>
          <w:color w:val="555555"/>
          <w:sz w:val="18"/>
        </w:rPr>
        <w:t xml:space="preserve">Betäubungsmittel-Binnenhandelsverordnung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Das Bundesinstitut für Arzneimittel und Medizinprodukte weist die BtM-Nummern (§ 2 Abs. 1 Satz 1 Nr. 1 und 2) den berechtigten Personen und Personenvereinigungen zu und macht die vom Bundesinstitut für Arzneimittel und Medizinprodukte zugewiesenen Pharmazentralnummern für Betäubungsmittel (§ 2 Abs. 1 Satz 1 Nr. 3 Buchstabe a) auf seiner Internetseite www.bfarm.de bekannt.</w:t>
      </w:r>
    </w:p>
    <w:p>
      <w:r>
        <w:rPr>
          <w:color w:val="555555"/>
          <w:sz w:val="17"/>
        </w:rPr>
        <w:t xml:space="preserve">Zitiervorschlag: § 6 BtMBinHV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https://recht.nulegal.eu/gesetze/BtMBinHV/6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