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BtMBinHV</w:t>
      </w:r>
    </w:p>
    <w:p>
      <w:r>
        <w:rPr>
          <w:color w:val="555555"/>
          <w:sz w:val="18"/>
        </w:rPr>
        <w:t xml:space="preserve">Betäubungsmittel-Binnenhandelsverordnung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Empfangsbestätigung und der Lieferschein sind dem Erwerber zusammen mit den Betäubungsmitteln als Schriftstücke oder elektronische Dokumente zu übersenden.</w:t>
      </w:r>
    </w:p>
    <w:p>
      <w:r>
        <w:t xml:space="preserve">(2) Zur Meldung der Abgabe nach § 12 Abs. 2 des Betäubungsmittelgesetzes ist dem Bundesinstitut für Arzneimittel und Medizinprodukte die Abgabemeldung binnen einer Woche nach der Abgabe als elektronisches Dokument zu übersenden.</w:t>
      </w:r>
    </w:p>
    <w:p>
      <w:r>
        <w:t xml:space="preserve">(3) Das Lieferscheindoppel ist vorbehaltlich der Vorschrift des § 4 Abs. 2 bis zum Eingang der Empfangsbestätigung aufzubewahren.</w:t>
      </w:r>
    </w:p>
    <w:p>
      <w:r>
        <w:rPr>
          <w:color w:val="555555"/>
          <w:sz w:val="17"/>
        </w:rPr>
        <w:t xml:space="preserve">Zitiervorschlag: § 3 BtMBinHV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https://recht.nulegal.eu/gesetze/BtMBinHV/3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