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BtMBinHV</w:t>
      </w:r>
    </w:p>
    <w:p>
      <w:r>
        <w:rPr>
          <w:color w:val="555555"/>
          <w:sz w:val="18"/>
        </w:rPr>
        <w:t xml:space="preserve">Betäubungsmittel-Binnenhandelsverordnung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Abgebende hat auf allen Teilen des Abgabebelegs (Abgabemeldung, Empfangsbestätigung, Lieferschein und Lieferscheindoppel) übereinstimmend folgende Angaben zu machen:</w:t>
      </w:r>
    </w:p>
    <w:p>
      <w:pPr>
        <w:ind w:left="420"/>
      </w:pPr>
      <w:r>
        <w:t xml:space="preserve">1. BtM-Nummer, Name oder Firma und Anschrift des Abgebenden; bei Abgebenden mit mehreren Betriebsstätten BtM-Nummer und Anschrift der abgebenden Betriebsstätte,</w:t>
      </w:r>
    </w:p>
    <w:p>
      <w:pPr>
        <w:ind w:left="420"/>
      </w:pPr>
      <w:r>
        <w:t xml:space="preserve">2. BtM-Nummer, Name oder Firma und Anschrift des Erwerbers; bei Erwerbern mit mehreren Betriebsstätten BtM-Nummer und Anschrift der erwerbenden Betriebsstätte,</w:t>
      </w:r>
    </w:p>
    <w:p>
      <w:pPr>
        <w:ind w:left="420"/>
      </w:pPr>
      <w:r>
        <w:t xml:space="preserve">3. für jedes abgegebene Betäubungsmittel:</w:t>
      </w:r>
    </w:p>
    <w:p>
      <w:pPr>
        <w:ind w:left="780"/>
      </w:pPr>
      <w:r>
        <w:t xml:space="preserve">a) Pharmazentralnummer,</w:t>
      </w:r>
    </w:p>
    <w:p>
      <w:pPr>
        <w:ind w:left="780"/>
      </w:pPr>
      <w:r>
        <w:t xml:space="preserve">b) Anzahl der Packungseinheiten,</w:t>
      </w:r>
    </w:p>
    <w:p>
      <w:pPr>
        <w:ind w:left="780"/>
      </w:pPr>
      <w:r>
        <w:t xml:space="preserve">c) Packungseinheit gemäß verwendeter Pharmazentralnummer (bei Stoffen und nicht abgeteilten Zubereitungen die Gewichtsmenge, bei abgeteilten Zubereitungen die Stückzahl),</w:t>
      </w:r>
    </w:p>
    <w:p>
      <w:pPr>
        <w:ind w:left="780"/>
      </w:pPr>
      <w:r>
        <w:t xml:space="preserve">d) Bezeichnung des Betäubungsmittels; zusätzlich:</w:t>
      </w:r>
    </w:p>
    <w:p>
      <w:pPr>
        <w:ind w:left="1140"/>
      </w:pPr>
      <w:r>
        <w:t xml:space="preserve">aa) bei abgeteilten Zubereitungen die Darreichungsform und das Gewicht des enthaltenen reinen Stoffes in Milligramm je abgeteilte Form,</w:t>
      </w:r>
    </w:p>
    <w:p>
      <w:pPr>
        <w:ind w:left="1140"/>
      </w:pPr>
      <w:r>
        <w:t xml:space="preserve">bb) bei nicht abgeteilten Zubereitungen die Darreichungsform und das Gewicht des enthaltenen reinen Stoffes je Packungseinheit,</w:t>
      </w:r>
    </w:p>
    <w:p>
      <w:pPr>
        <w:ind w:left="1140"/>
      </w:pPr>
      <w:r>
        <w:t xml:space="preserve">cc) bei rohen, ungereinigten und nicht abgeteilten Betäubungsmitteln den Gewichtsvomhundertsatz des enthaltenen reinen Stoffes,</w:t>
      </w:r>
    </w:p>
    <w:p>
      <w:pPr>
        <w:ind w:left="420"/>
      </w:pPr>
      <w:r>
        <w:t xml:space="preserve">4. Abgabedatum.</w:t>
      </w:r>
    </w:p>
    <w:p>
      <w:r>
        <w:t xml:space="preserve">Der Abgebende hat die Abgabemeldung mit seiner elektronischen Signatur zu versehen.</w:t>
      </w:r>
    </w:p>
    <w:p>
      <w:r>
        <w:t xml:space="preserve">(2) Ist der Abgebende oder Erwerber eine in § 4 Abs. 2 oder § 26 des Betäubungsmittelgesetzes genannte Behörde oder Einrichtung, so entfällt die Angabe der BtM-Nummer nach Absatz 1 Satz 1 Nr. 1 oder 2. Die Angabe der Pharmazentralnummer des Betäubungsmittels nach Absatz 1 Satz 1 Nr. 3 Buchstabe a entfällt, wenn eine solche vom Bundesinstitut für Arzneimittel und Medizinprodukte nicht bekannt gemacht wurde.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 BtMBinHV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https://recht.nulegal.eu/gesetze/BtMBinHV/2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