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BtMAHV</w:t>
      </w:r>
    </w:p>
    <w:p>
      <w:r>
        <w:rPr>
          <w:color w:val="555555"/>
          <w:sz w:val="18"/>
        </w:rPr>
        <w:t xml:space="preserve">Betäubungsmittel-Außenhandelsverordnung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Abs. 2 des Betäubungsmittelgesetzes vom 28. Juli 1981 (BGBl. I S. 681) verordnet die Bundesregierung:</w:t>
      </w:r>
    </w:p>
    <w:p>
      <w:r>
        <w:rPr>
          <w:color w:val="555555"/>
          <w:sz w:val="17"/>
        </w:rPr>
        <w:t xml:space="preserve">Zitiervorschlag: Eingangsformel BtMAHV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https://recht.nulegal.eu/gesetze/BtMAHV/eingangsformel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