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BtMAHV — Versagungsgründe</w:t>
      </w:r>
    </w:p>
    <w:p>
      <w:r>
        <w:rPr>
          <w:color w:val="555555"/>
          <w:sz w:val="18"/>
        </w:rPr>
        <w:t xml:space="preserve">Betäubungsmittel-Außenhandelsverordnung</w:t>
      </w:r>
    </w:p>
    <w:p>
      <w:r>
        <w:rPr>
          <w:color w:val="555555"/>
          <w:sz w:val="18"/>
        </w:rPr>
        <w:t xml:space="preserve">Stand: 10.06.2019 (konsolidierte Textfassung, kein amtliches Inkrafttretensdatum)</w:t>
      </w:r>
    </w:p>
    <w:p>
      <w:r>
        <w:t xml:space="preserve">(1) Das Bundesinstitut für Arzneimittel und Medizinprodukte hat die Ausfuhrgenehmigung zu versagen, wenn</w:t>
      </w:r>
    </w:p>
    <w:p>
      <w:pPr>
        <w:ind w:left="420"/>
      </w:pPr>
      <w:r>
        <w:t xml:space="preserve">1. die Ausfuhr der Betäubungsmittel an ein Geldinstitut zur Verfügung einer anderen Person als der des gebietsfremden Empfängers oder an ein Postfach erfolgen soll,</w:t>
      </w:r>
    </w:p>
    <w:p>
      <w:pPr>
        <w:ind w:left="420"/>
      </w:pPr>
      <w:r>
        <w:t xml:space="preserve">2. es sich um Betäubungsmittel der Anlage I des Betäubungsmittelgesetzes handelt, die zur Lagerung in einem Zollager des Einfuhrlandes ausgeführt werden sollen,</w:t>
      </w:r>
    </w:p>
    <w:p>
      <w:pPr>
        <w:ind w:left="420"/>
      </w:pPr>
      <w:r>
        <w:t xml:space="preserve">3. die Betäubungsmittel zur Lagerung in einem Zollager des Einfuhrlandes ausgeführt werden sollen und in der Einfuhrgenehmigung die Lagerung der Sendung in einem Zollager nicht genehmigt ist,</w:t>
      </w:r>
    </w:p>
    <w:p>
      <w:pPr>
        <w:ind w:left="420"/>
      </w:pPr>
      <w:r>
        <w:t xml:space="preserve">4. dem Ausfuhrantrag keine oder keine den Formvorschriften der internationalen Suchtstoffübereinkommen entsprechende ausländische Einfuhrgenehmigung beigefügt ist,</w:t>
      </w:r>
    </w:p>
    <w:p>
      <w:pPr>
        <w:ind w:left="420"/>
      </w:pPr>
      <w:r>
        <w:t xml:space="preserve">5. das Einfuhrland der Bundesrepublik Deutschland über den Generalsekretär der Vereinten Nationen mitgeteilt hat, daß es die Einfuhr der Betäubungsmittel verbietet.</w:t>
      </w:r>
    </w:p>
    <w:p>
      <w:r>
        <w:t xml:space="preserve">(2) Das Bundesinstitut für Arzneimittel und Medizinprodukte hat die Ausfuhrgenehmigung ferner zu versagen oder die auszuführende Menge des Betäubungsmittels zu beschränken, wenn die Ausfuhr nicht im Rahmen der vom Internationalen Suchtstoffkontrollamt bekanntgegebenen Schätzung des Einfuhrlandes für dieses Betäubungsmittel abgewickelt werden kann, sofern nicht in der Einfuhrgenehmigung angegeben ist, daß das Betäubungsmittel zur Wiederausfuhr vorgesehen ist, oder der Ausführende den Nachweis erbringt, daß das Betäubungsmittel für eine Krankenbehandlung unerläßlich ist.</w:t>
      </w:r>
    </w:p>
    <w:p>
      <w:r>
        <w:t xml:space="preserve">(3) Das Bundesinstitut für Arzneimittel und Medizinprodukte kann die Ausfuhrgenehmigung versagen, wenn der begründete Verdacht besteht, daß das Betäubungsmittel im Einfuhrland nicht zu medizinischen, wissenschaftlichen oder anderen erlaubten Zwecken verwendet werden soll, oder wenn Sicherheit oder Kontrolle des Betäubungsmittelverkehrs nicht gewährleistet sind.</w:t>
      </w:r>
    </w:p>
    <w:p>
      <w:r>
        <w:rPr>
          <w:color w:val="555555"/>
          <w:sz w:val="17"/>
        </w:rPr>
        <w:t xml:space="preserve">Zitiervorschlag: § 8 BtMAHV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https://recht.nulegal.eu/gesetze/BtMAHV/8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