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BtMAHV — Lagerung unter zollamtlicher Überwachung</w:t>
      </w:r>
    </w:p>
    <w:p>
      <w:r>
        <w:rPr>
          <w:color w:val="555555"/>
          <w:sz w:val="18"/>
        </w:rPr>
        <w:t xml:space="preserve">Betäubungsmittel-Außenhandelsverordnung</w:t>
      </w:r>
    </w:p>
    <w:p>
      <w:r>
        <w:rPr>
          <w:color w:val="555555"/>
          <w:sz w:val="18"/>
        </w:rPr>
        <w:t xml:space="preserve">Stand: 10.06.2019 (konsolidierte Textfassung, kein amtliches Inkrafttretensdatum)</w:t>
      </w:r>
    </w:p>
    <w:p>
      <w:r>
        <w:t xml:space="preserve">Ist in der Einfuhrgenehmigung nur die Lagerung unter zollamtlicher Überwachung genehmigt, so dürfen die Betäubungsmittel nur in einer Zollniederlage, einem Zollverschlußlager oder einem Freihafen gelagert werden. Die gelagerten Betäubungsmittel dürfen keiner Behandlung unterzogen werden, die geeignet ist, die Beschaffenheit, die Verpackung oder die Markierung zu verändern. Sie dürfen nur nach den Vorschriften der §§ 7 bis 12 ausgeführt werden. Sollen die Betäubungsmittel im Geltungsbereich des Betäubungsmittelgesetzes verbleiben, ist für die Entnahme aus der Zollniederlage, dem Zollverschlußlager oder dem Freihafen die schriftliche Zustimmung des Bundesinstitutes für Arzneimittel und Medizinprodukte erforderlich.</w:t>
      </w:r>
    </w:p>
    <w:p>
      <w:r>
        <w:rPr>
          <w:color w:val="555555"/>
          <w:sz w:val="17"/>
        </w:rPr>
        <w:t xml:space="preserve">Zitiervorschlag: § 5 BtMAHV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https://recht.nulegal.eu/gesetze/BtMAHV/5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