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BtMAHV — Einfuhrgenehmigung</w:t>
      </w:r>
    </w:p>
    <w:p>
      <w:r>
        <w:rPr>
          <w:color w:val="555555"/>
          <w:sz w:val="18"/>
        </w:rPr>
        <w:t xml:space="preserve">Betäubungsmittel-Außenhandelsverordnung</w:t>
      </w:r>
    </w:p>
    <w:p>
      <w:r>
        <w:rPr>
          <w:color w:val="555555"/>
          <w:sz w:val="18"/>
        </w:rPr>
        <w:t xml:space="preserve">Stand: 10.06.2019 (konsolidierte Textfassung, kein amtliches Inkrafttretensdatum)</w:t>
      </w:r>
    </w:p>
    <w:p>
      <w:r>
        <w:t xml:space="preserve">(1) Das Bundesinstitut für Arzneimittel und Medizinprodukte erteilt die Einfuhrgenehmigung unter Verwendung amtlicher Formblätter in dreifacher Ausfertigung. Es übersendet zwei Ausfertigungen dem Einführer und eine Ausfertigung der für die Betäubungsmittelkontrolle zuständigen Behörde des Ausfuhrlandes.</w:t>
      </w:r>
    </w:p>
    <w:p>
      <w:r>
        <w:t xml:space="preserve">(2) Die Einfuhrgenehmigung ist nicht übertragbar. Sie ist auf höchstens drei Monate und bei Einfuhren, die auf dem Seewege erfolgen sollen, auf höchstens sechs Monate zu befristen. Die Fristen können auf Antrag verlängert werden, wenn der Einführer nachweist, daß sich die Betäubungsmittel bereits auf dem Transport befinden.</w:t>
      </w:r>
    </w:p>
    <w:p>
      <w:r>
        <w:rPr>
          <w:color w:val="555555"/>
          <w:sz w:val="17"/>
        </w:rPr>
        <w:t xml:space="preserve">Zitiervorschlag: § 3 BtMAHV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https://recht.nulegal.eu/gesetze/BtMAHV/3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