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BtMAHV — Inkrafttreten</w:t>
      </w:r>
    </w:p>
    <w:p>
      <w:r>
        <w:rPr>
          <w:color w:val="555555"/>
          <w:sz w:val="18"/>
        </w:rPr>
        <w:t xml:space="preserve">Betäubungsmittel-Außenhandelsverordnung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Januar 1982 in Kraft.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§ 20 BtMAHV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https://recht.nulegal.eu/gesetze/BtMAHV/20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