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BtMAHV — Sonstige Vorschriften</w:t>
      </w:r>
    </w:p>
    <w:p>
      <w:r>
        <w:rPr>
          <w:color w:val="555555"/>
          <w:sz w:val="18"/>
        </w:rPr>
        <w:t xml:space="preserve">Betäubungsmittel-Außenhandelsverordnung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Bundesinstitut für Arzneimittel und Medizinprodukte gibt die amtlichen Formblätter nach § 1 Abs. 1, § 3 Abs. 1 Satz 1, § 6 Abs. 1 Satz 3, § 7 Abs. 1, § 9 Abs. 1 Satz 1, § 12 Abs. 1 Satz 3 und § 14 Abs. 3 Satz 1 heraus und macht sie im Bundesanzeiger bekannt. Es weist die BtM-Nummern nach § 1 Abs. 2 Nr. 1 und § 7 Abs. 2 Nr. 1 den Einführern oder Ausführern zu, macht die BtM-Nummern der Einfuhr- und Ausfuhrländer nach § 1 Abs. 2 Nr. 2 und § 7 Abs. 2 Nr. 2 und die Pharmazentralnummern nach § 1 Abs. 2 Nr. 3 Buchstabe a und § 7 Abs. 2 Nr. 4 Buchstabe a der Betäubungsmittel im Bundesanzeiger bekannt.</w:t>
      </w:r>
    </w:p>
    <w:p>
      <w:r>
        <w:rPr>
          <w:color w:val="555555"/>
          <w:sz w:val="17"/>
        </w:rPr>
        <w:t xml:space="preserve">Zitiervorschlag: § 18 BtMAHV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https://recht.nulegal.eu/gesetze/BtMAHV/18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