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BtMAHV</w:t>
      </w:r>
    </w:p>
    <w:p>
      <w:r>
        <w:rPr>
          <w:color w:val="555555"/>
          <w:sz w:val="18"/>
        </w:rPr>
        <w:t xml:space="preserve">Betäubungsmittel-Außenhandelsverordnung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32 Abs. 1 Nr. 6 des Betäubungsmittelgesetzes handelt, wer vorsätzlich oder fahrlässig</w:t>
      </w:r>
    </w:p>
    <w:p>
      <w:pPr>
        <w:ind w:left="420"/>
      </w:pPr>
      <w:r>
        <w:t xml:space="preserve">1. entgegen § 1 Abs. 2 oder § 7 Abs. 2 im Einfuhr- oder Ausfuhrantrag unrichtige oder unvollständige Angaben macht oder</w:t>
      </w:r>
    </w:p>
    <w:p>
      <w:pPr>
        <w:ind w:left="420"/>
      </w:pPr>
      <w:r>
        <w:t xml:space="preserve">2. entgegen § 6 Abs. 1 Satz 1 oder Abs. 2 Satz 2 oder § 12 Abs. 1 Satz 1 oder Abs. 2 Satz 2 die Ein- oder Ausfuhranzeige oder die Ein- oder Ausfuhrgenehmigung nicht, nicht richtig oder nicht vollständig mit den dort bezeichneten Angaben versieht.</w:t>
      </w:r>
    </w:p>
    <w:p>
      <w:r>
        <w:rPr>
          <w:color w:val="555555"/>
          <w:sz w:val="17"/>
        </w:rPr>
        <w:t xml:space="preserve">Zitiervorschlag: § 16 BtMAHV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https://recht.nulegal.eu/gesetze/BtMAHV/16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