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BtMAHV</w:t>
      </w:r>
    </w:p>
    <w:p>
      <w:r>
        <w:rPr>
          <w:color w:val="555555"/>
          <w:sz w:val="18"/>
        </w:rPr>
        <w:t xml:space="preserve">Betäubungsmittel-Außenhandelsverordnung</w:t>
      </w:r>
    </w:p>
    <w:p>
      <w:r>
        <w:rPr>
          <w:color w:val="555555"/>
          <w:sz w:val="18"/>
        </w:rPr>
        <w:t xml:space="preserve">Stand: 10.06.2019 (konsolidierte Textfassung, kein amtliches Inkrafttretensdatum)</w:t>
      </w:r>
    </w:p>
    <w:p>
      <w:r>
        <w:t xml:space="preserve">(1) Betäubungsmittel dürfen durch den Geltungsbereich des Betäubungsmittelgesetzes nur unter zollamtlicher Überwachung ohne weiteren als den durch die Beförderung oder den Umschlag bedingten Aufenthalt und ohne daß das Betäubungsmittel zu irgendeinem Zeitpunkt des Verbringens dem Durchführenden oder einer dritten Person tatsächlich zur Verfügung steht, durchgeführt werden. Sie dürfen während der Durchfuhr keiner Behandlung unterzogen werden, die geeignet ist, die Beschaffenheit, die Kennzeichnung, die Verpackung oder die Markierungen zu verändern. Beim Betäubungsmittelverkehr mit einem Mitgliedstaat der Europäischen Union entfällt die zollamtliche Überwachung.</w:t>
      </w:r>
    </w:p>
    <w:p>
      <w:r>
        <w:t xml:space="preserve">(2) Sofern Betäubungsmittel bei der Durchfuhr nicht von der nach den internationalen Suchtstoffübereinkommen vorgeschriebenen Ausfuhrgenehmigung oder Ausfuhrerklärung des Ausfuhrlandes begleitet werden, dürfen sie nur mit Genehmigung des Bundesinstitutes für Arzneimittel und Medizinprodukte zur Durchfuhr abgefertigt werden.</w:t>
      </w:r>
    </w:p>
    <w:p>
      <w:r>
        <w:t xml:space="preserve">(3) Zur Durchfuhr bestimmte Betäubungsmittel dürfen jeweils nur über eine vom Bundesminister der Finanzen bestimmte Zollstelle in den und aus dem Geltungsbereich des Betäubungsmittelgesetzes verbracht werden. Sie sind diesen Zollstellen unter Vorlage der sie begleitenden Ausfuhrgenehmigung oder Ausfuhrerklärung des Ausfuhrlandes oder der in Absatz 2 genannten Genehmigung des Bundesinstitutes für Arzneimittel und Medizinprodukte anzumelden und auf Verlangen vorzuführen. Dies gilt nicht beim Betäubungsmittelverkehr mit einem Mitgliedstaat der Europäischen Union.</w:t>
      </w:r>
    </w:p>
    <w:p>
      <w:r>
        <w:t xml:space="preserve">(4) Zur Durchfuhr abgefertigte Betäubungsmittel dürfen in Abänderung dieser Zweckbestimmung nur</w:t>
      </w:r>
    </w:p>
    <w:p>
      <w:pPr>
        <w:ind w:left="420"/>
      </w:pPr>
      <w:r>
        <w:t xml:space="preserve">1. nach den Vorschriften der §§ 1 bis 6 eingeführt oder</w:t>
      </w:r>
    </w:p>
    <w:p>
      <w:pPr>
        <w:ind w:left="420"/>
      </w:pPr>
      <w:r>
        <w:t xml:space="preserve">2. nach den Vorschriften der §§ 7 bis 12 in ein anderes als das in der Ausfuhrgenehmigung oder Ausfuhrerklärung genannte Bestimmungsland umgeleitet oder in das Ausfuhrland zurückgeleitet werden.</w:t>
      </w:r>
    </w:p>
    <w:p>
      <w:r>
        <w:t xml:space="preserve">(5) Die Absätze 2 bis 4 finden keine Anwendung auf die Durchfuhr von Betäubungsmitteln bei Zwischenlandung im Luftverkehr oder bei Anlandung im Seeschiffsverkehr, wenn die Betäubungsmittel nicht aus dem Flugzeug oder dem Seeschiff entladen werden.</w:t>
      </w:r>
    </w:p>
    <w:p>
      <w:r>
        <w:rPr>
          <w:color w:val="555555"/>
          <w:sz w:val="17"/>
        </w:rPr>
        <w:t xml:space="preserve">Zitiervorschlag: § 13 BtMAHV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https://recht.nulegal.eu/gesetze/BtMAHV/13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