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BtMAHV — Kennzeichnung</w:t>
      </w:r>
    </w:p>
    <w:p>
      <w:r>
        <w:rPr>
          <w:color w:val="555555"/>
          <w:sz w:val="18"/>
        </w:rPr>
        <w:t xml:space="preserve">Betäubungsmittel-Außenhandelsverordnung</w:t>
      </w:r>
    </w:p>
    <w:p>
      <w:r>
        <w:rPr>
          <w:color w:val="555555"/>
          <w:sz w:val="18"/>
        </w:rPr>
        <w:t xml:space="preserve">Stand: 10.06.2019 (konsolidierte Textfassung, kein amtliches Inkrafttretensdatum)</w:t>
      </w:r>
    </w:p>
    <w:p>
      <w:r>
        <w:t xml:space="preserve">Zur Ausfuhr bestimmte Betäubungsmittel sind in den Handelsrechnungen, Lieferscheinen, Ladelisten, Versand- und Zollpapieren nach § 14 Abs. 1 Satz 1 des Betäubungsmittelgesetzes zu bezeichnen. In der Handelsrechnung und im Lieferschein sind zusätzlich die auf den Packstücken angebrachten Markierungen und die Nummern und Ausstellungsdaten der Ausfuhrgenehmigung sowie der zugehörigen Einfuhrgenehmigung anzugeben. Das Bundesinstitut für Arzneimittel und Medizinprodukte kann im Einzelfall Ausnahmen zulassen, wenn dies nach den Vorschriften des Einfuhrlandes erforderlich ist.</w:t>
      </w:r>
    </w:p>
    <w:p>
      <w:r>
        <w:rPr>
          <w:color w:val="555555"/>
          <w:sz w:val="17"/>
        </w:rPr>
        <w:t xml:space="preserve">Zitiervorschlag: § 10 BtMAHV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https://recht.nulegal.eu/gesetze/BtMAHV/10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