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BtMÄndV 21</w:t>
      </w:r>
    </w:p>
    <w:p>
      <w:r>
        <w:rPr>
          <w:color w:val="555555"/>
          <w:sz w:val="18"/>
        </w:rPr>
        <w:t xml:space="preserve">Einundzwanzigste Betäubungsmittelrechts-Änderungsverordnung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2 des Betäubungsmittelgesetzes in der Fassung der Bekanntmachung vom 1. März 1994 (BGBl. I S. 358) verordnet die Bundesregierung nach Anhörung von Sachverständigen:</w:t>
      </w:r>
    </w:p>
    <w:p>
      <w:r>
        <w:rPr>
          <w:color w:val="555555"/>
          <w:sz w:val="17"/>
        </w:rPr>
        <w:t xml:space="preserve">Zitiervorschlag: Eingangsformel BtMÄndV 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https://recht.nulegal.eu/gesetze/BtM%C3%84ndV%2021/eingangsformel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