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BtMÄndV 21 — Inkrafttreten</w:t>
      </w:r>
    </w:p>
    <w:p>
      <w:r>
        <w:rPr>
          <w:color w:val="555555"/>
          <w:sz w:val="18"/>
        </w:rPr>
        <w:t xml:space="preserve">Einundzwanzigste Betäubungsmittelrechts-Änderungsverordnung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Art 3 BtMÄndV 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https://recht.nulegal.eu/gesetze/BtM%C3%84ndV%2021/3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