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BtMÄndV 21 — Übergangsvorschrift</w:t>
      </w:r>
    </w:p>
    <w:p>
      <w:r>
        <w:rPr>
          <w:color w:val="555555"/>
          <w:sz w:val="18"/>
        </w:rPr>
        <w:t xml:space="preserve">Einundzwanzigste Betäubungsmittelrechts-Änderungsverordnung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am 1. März 2008 mit folgenden in Artikel 1 Nr. 2 aufgeführten Stoffen und deren Zubereitungen</w:t>
      </w:r>
    </w:p>
    <w:p>
      <w:pPr>
        <w:ind w:left="420"/>
      </w:pPr>
      <w:r>
        <w:t xml:space="preserve">1. Benzylpiperazin (BZP)</w:t>
      </w:r>
    </w:p>
    <w:p>
      <w:pPr>
        <w:ind w:left="420"/>
      </w:pPr>
      <w:r>
        <w:t xml:space="preserve">2. Oripavin</w:t>
      </w:r>
    </w:p>
    <w:p>
      <w:r>
        <w:t xml:space="preserve">am Verkehr im Sinne des § 3 Abs. 1 Nr. 1 des Betäubungsmittelgesetzes teilnimmt oder ausgenommene Zubereitungen herstellt (§ 3 Abs. 1 Nr. 2 des Betäubungsmittelgesetzes), bleibt dazu bis zum 1. September 2008 berechtigt. Beantragt er vor dem Ablauf dieser Frist eine Erlaubnis nach § 3 Abs. 1 des Betäubungsmittelgesetzes, so dauert die Berechtigung bis zur unanfechtbaren Ablehnung des Antrages fort. Der nach Satz 1 und 2 Berechtigte ist ab 1. März 2008 wie der Inhaber einer Erlaubnis an alle übrigen Vorschriften des Betäubungsmittelgesetzes und der dazu ergangenen Verordnungen gebunden.</w:t>
      </w:r>
    </w:p>
    <w:p>
      <w:r>
        <w:rPr>
          <w:color w:val="555555"/>
          <w:sz w:val="17"/>
        </w:rPr>
        <w:t xml:space="preserve">Zitiervorschlag: Art 2 BtMÄndV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https://recht.nulegal.eu/gesetze/BtM%C3%84ndV%2021/2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