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BtMÄndV 21 — Änderung der Anlagen des Betäubungsmittelgesetzes</w:t>
      </w:r>
    </w:p>
    <w:p>
      <w:r>
        <w:rPr>
          <w:color w:val="555555"/>
          <w:sz w:val="18"/>
        </w:rPr>
        <w:t xml:space="preserve">Einundzwanzigste Betäubungsmittelrechts-Änderungsverordnung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BtMÄndV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https://recht.nulegal.eu/gesetze/BtM%C3%84ndV%2021/1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BtMÄndV 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