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BtBG</w:t>
      </w:r>
    </w:p>
    <w:p>
      <w:r>
        <w:rPr>
          <w:color w:val="555555"/>
          <w:sz w:val="18"/>
        </w:rPr>
        <w:t xml:space="preserve">Betreuungsbehördengesetz</w:t>
      </w:r>
    </w:p>
    <w:p>
      <w:r>
        <w:rPr>
          <w:color w:val="555555"/>
          <w:sz w:val="18"/>
        </w:rPr>
        <w:t xml:space="preserve">Historische Fassung: Stand 10.06.2019 bis 01.01.2023. Dies ist nicht die aktuelle Fassung.</w:t>
      </w:r>
    </w:p>
    <w:p>
      <w:r>
        <w:t xml:space="preserve">Zur Durchführung der Aufgaben werden Personen beschäftigt, die sich hierfür nach ihrer Persönlichkeit eignen und die in der Regel entweder eine ihren Aufgaben entsprechende Ausbildung erhalten haben (Fachkräfte) oder über vergleichbare Erfahrungen verfügen.</w:t>
      </w:r>
    </w:p>
    <w:p>
      <w:r>
        <w:rPr>
          <w:color w:val="555555"/>
          <w:sz w:val="17"/>
        </w:rPr>
        <w:t xml:space="preserve">Zitiervorschlag: § 9 BtBG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https://recht.nulegal.eu/gesetze/BtBG/9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