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BsGaV — Zuordnung von immateriellen Werten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Für die Zuordnung eines immateriellen Werts zu einer Betriebsstätte ist dessen Schaffung oder dessen Erwerb die maßgebliche Personalfunktion. Werden Personalfunktionen, durch deren Ausübung ein immaterieller Wert geschaffen oder erworben wird, gleichzeitig in verschiedenen Betriebsstätten ausgeübt, so ist der immaterielle Wert der Betriebsstätte zuzuordnen, deren Personalfunktion die größte Bedeutung für den immateriellen Wert zukommt.</w:t>
      </w:r>
    </w:p>
    <w:p>
      <w:r>
        <w:t xml:space="preserve">(2) Abweichend von Absatz 1 ist ein immaterieller Wert nur dann einer anderen Betriebsstätte als derjenigen, auf Grund deren Personalfunktion der immaterielle Wert geschaffen oder erworben wird, zuzuordnen, wenn die Bedeutung einer in dieser anderen Betriebsstätte ausgeübten anderen Personalfunktion eindeutig gegenüber der Bedeutung der in Absatz 1 genannten Personalfunktion überwiegt. Andere Personalfunktionen sind insbesondere solche, die im Zusammenhang mit der Nutzung, der Verwaltung, der Weiterentwicklung, dem Schutz oder der Veräußerung des immateriellen Werts stehen.</w:t>
      </w:r>
    </w:p>
    <w:p>
      <w:r>
        <w:t xml:space="preserve">(3) Werden andere Personalfunktionen im Sinne des Absatzes 2 Satz 1 gleichzeitig in verschiedenen Betriebsstätten des Unternehmens ausgeübt, so ist der immaterielle Wert der Betriebsstätte zuzuordnen, deren anderer Personalfunktion die größte Bedeutung für den immateriellen Wert zukommt.</w:t>
      </w:r>
    </w:p>
    <w:p>
      <w:r>
        <w:t xml:space="preserve">(4) Kann ein immaterieller Wert nicht eindeutig zugeordnet werden, so ist eine Zuordnung vorzunehmen, die den Absätzen 1 bis 3 nicht widerspricht. In diesen Fällen kann ein immaterieller Wert den Betriebsstätten, in denen auf Dauer die Personalfunktionen mit der größten Bedeutung ausgeübt werden, auch anteilig zugeordnet werden.</w:t>
      </w:r>
    </w:p>
    <w:p>
      <w:r>
        <w:rPr>
          <w:color w:val="555555"/>
          <w:sz w:val="17"/>
        </w:rPr>
        <w:t xml:space="preserve">Zitiervorschlag: § 6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