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BsGaV — Zuordnung von Personalfunktionen</w:t>
      </w:r>
    </w:p>
    <w:p>
      <w:r>
        <w:rPr>
          <w:color w:val="555555"/>
          <w:sz w:val="18"/>
        </w:rPr>
        <w:t xml:space="preserve">Betriebsstättengewinnaufteilungsverordnung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Personalfunktion ist der Betriebsstätte zuzuordnen, in der die Personalfunktion ausgeübt wird. Eine Personalfunktion ist einer Betriebsstätte jedoch nicht zuzuordnen, wenn die Personalfunktion</w:t>
      </w:r>
    </w:p>
    <w:p>
      <w:pPr>
        <w:ind w:left="420"/>
      </w:pPr>
      <w:r>
        <w:t xml:space="preserve">1. keinen sachlichen Bezug zur Geschäftstätigkeit der Betriebsstätte aufweist und</w:t>
      </w:r>
    </w:p>
    <w:p>
      <w:pPr>
        <w:ind w:left="420"/>
      </w:pPr>
      <w:r>
        <w:t xml:space="preserve">2. an weniger als 30 Tagen innerhalb eines Wirtschaftsjahres in dieser Betriebsstätte ausgeübt wird.</w:t>
      </w:r>
    </w:p>
    <w:p>
      <w:r>
        <w:t xml:space="preserve">(2) Wird eine Personalfunktion weder in der Betriebsstätte noch im übrigen Unternehmen ausgeübt oder liegt ein Fall des Absatzes 1 Satz 2 vor, so ist die Personalfunktion der Betriebsstätte zuzuordnen, zu der die Personalfunktion sachlich den engsten Bezug aufweist.</w:t>
      </w:r>
    </w:p>
    <w:p>
      <w:r>
        <w:t xml:space="preserve">(3) Kann eine Personalfunktion nicht eindeutig zugeordnet werden, so ist eine Zuordnung vorzunehmen, die den Absätzen 1 und 2 nicht widerspricht.</w:t>
      </w:r>
    </w:p>
    <w:p>
      <w:r>
        <w:rPr>
          <w:color w:val="555555"/>
          <w:sz w:val="17"/>
        </w:rPr>
        <w:t xml:space="preserve">Zitiervorschlag: § 4 BsGaV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https://recht.nulegal.eu/gesetze/BsGaV/4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