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BsGaV — Ständige Vertreter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ist sinngemäß auf ständige Vertreter im Sinne des § 13 der Abgabenordnung anzuwenden.</w:t>
      </w:r>
    </w:p>
    <w:p>
      <w:r>
        <w:t xml:space="preserve">(2) Handelt es sich bei einem ständigen Vertreter um ein rechtlich selbständiges Unternehmen mit eigenem Personal im Sinne des § 2 Absatz 4, so sind für die sinngemäße Anwendung nach Absatz 1 abweichend von § 2 Absatz 3 alle Personalfunktionen, die vom Personal des ständigen Vertreters für den Vertretenen ausgeübt werden, als eigene Personalfunktionen des Vertretenen zu behandeln.</w:t>
      </w:r>
    </w:p>
    <w:p>
      <w:r>
        <w:rPr>
          <w:color w:val="555555"/>
          <w:sz w:val="17"/>
        </w:rPr>
        <w:t xml:space="preserve">Zitiervorschlag: § 39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