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BsGaV — Übergangsregelung für Förderbetriebsstätten</w:t>
      </w:r>
    </w:p>
    <w:p>
      <w:r>
        <w:rPr>
          <w:color w:val="555555"/>
          <w:sz w:val="18"/>
        </w:rPr>
        <w:t xml:space="preserve">Betriebsstättengewinnaufteilungsverordnung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Bergbauunternehmen oder das Erdöl- oder Erdgasunternehmen kann die Einkünfte einer bereits vor dem 1. Januar 2013 begründeten Förderbetriebsstätte bis zur Beendigung der Förderbetriebsstätte nach den bisher von der Finanzbehörde anerkannten steuerlichen Grundsätzen ermitteln.</w:t>
      </w:r>
    </w:p>
    <w:p>
      <w:r>
        <w:t xml:space="preserve">(2) Das Bergbauunternehmen oder das Erdöl- oder Erdgasunternehmen kann, ungeachtet § 1 Absatz 5 des Außensteuergesetzes, Absatz 1 auch auf Förderbetriebsstätten anwenden, für die das Explorationsrecht bereits im Jahr 2013 oder 2014 angeschafft oder hergestellt wurde, wenn es</w:t>
      </w:r>
    </w:p>
    <w:p>
      <w:pPr>
        <w:ind w:left="420"/>
      </w:pPr>
      <w:r>
        <w:t xml:space="preserve">1. nachweist, dass es für seine Kalkulation von der Anwendung der bisher von der Finanzbehörde anerkannten Grundsätze ausgegangen ist, und</w:t>
      </w:r>
    </w:p>
    <w:p>
      <w:pPr>
        <w:ind w:left="420"/>
      </w:pPr>
      <w:r>
        <w:t xml:space="preserve">2. glaubhaft macht, dass die Regelungen dieser Verordnung seiner Kalkulation die Grundlage entziehen.</w:t>
      </w:r>
    </w:p>
    <w:p>
      <w:r>
        <w:rPr>
          <w:color w:val="555555"/>
          <w:sz w:val="17"/>
        </w:rPr>
        <w:t xml:space="preserve">Zitiervorschlag: § 38 BsGaV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https://recht.nulegal.eu/gesetze/BsGaV/38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