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BsGaV — Besondere Zuordnungsregelungen</w:t>
      </w:r>
    </w:p>
    <w:p>
      <w:r>
        <w:rPr>
          <w:color w:val="555555"/>
          <w:sz w:val="18"/>
        </w:rPr>
        <w:t xml:space="preserve">Betriebsstättengewinnaufteilungsverordnung</w:t>
      </w:r>
    </w:p>
    <w:p>
      <w:r>
        <w:rPr>
          <w:color w:val="555555"/>
          <w:sz w:val="18"/>
        </w:rPr>
        <w:t xml:space="preserve">Stand: 10.06.2019 (konsolidierte Textfassung, kein amtliches Inkrafttretensdatum)</w:t>
      </w:r>
    </w:p>
    <w:p>
      <w:r>
        <w:t xml:space="preserve">(1) Ein Explorationsrecht, das für die Ausübung von Personalfunktionen in einer Förderbetriebsstätte eines Bergbauunternehmens oder eines Erdöl- oder Erdgasunternehmens genutzt wird, ist dieser Förderbetriebsstätte nur dann zuzuordnen, wenn dort zusätzlich auch</w:t>
      </w:r>
    </w:p>
    <w:p>
      <w:pPr>
        <w:ind w:left="420"/>
      </w:pPr>
      <w:r>
        <w:t xml:space="preserve">1. die Personalfunktionen im Zusammenhang mit der Anschaffung oder Herstellung des Explorationsrechts ausgeübt werden oder</w:t>
      </w:r>
    </w:p>
    <w:p>
      <w:pPr>
        <w:ind w:left="420"/>
      </w:pPr>
      <w:r>
        <w:t xml:space="preserve">2. der Vertrieb oder die Verwertung der gewonnenen Bodenschätze erfolgt.</w:t>
      </w:r>
    </w:p>
    <w:p>
      <w:r>
        <w:t xml:space="preserve">Die Zuordnung nach Satz 1 setzt voraus, dass die Bedeutung der genannten Personalfunktionen, die in der Förderbetriebsstätte im Hinblick auf das Explorationsrecht ausgeübt werden, gegenüber den insoweit ausgeübten Personalfunktionen des übrigen Unternehmens eindeutig überwiegt.</w:t>
      </w:r>
    </w:p>
    <w:p>
      <w:r>
        <w:t xml:space="preserve">(2) Kann das Explorationsrecht nach Absatz 1 nicht der Förderbetriebsstätte zugeordnet werden, so ist es dem übrigen Unternehmen zuzuordnen und gilt als der Förderbetriebsstätte unentgeltlich beigestellt.</w:t>
      </w:r>
    </w:p>
    <w:p>
      <w:r>
        <w:t xml:space="preserve">(3) Abweichend von Absatz 2 ist das Explorationsrecht der Förderbetriebsstätte zum Zeitpunkt der Aufnahme der Fördertätigkeit zuzuordnen, wenn das Bergbauunternehmen oder das Erdöl- oder Erdgasunternehmen nachweist, dass der Staat, in dem die Förderbetriebsstätte liegt, ebenfalls von dieser Zuordnung ausgeht. Die Zuordnung ist beizubehalten, solange der Staat, in dem die Förderbetriebsstätte liegt, von der entsprechenden Zuordnung des Explorationsrechts ausgeht.</w:t>
      </w:r>
    </w:p>
    <w:p>
      <w:r>
        <w:t xml:space="preserve">(4) In den Fällen des Absatzes 2 gilt für die Zuordnung von Vermögenswerten zu einer Förderbetriebsstätte § 31 Absatz 1 bis 3 sinngemäß. In den Fällen des Absatzes 3 gelten für die Zuordnung von Vermögenswerten zu einer Förderbetriebsstätte die §§ 5 bis 8.</w:t>
      </w:r>
    </w:p>
    <w:p>
      <w:r>
        <w:rPr>
          <w:color w:val="555555"/>
          <w:sz w:val="17"/>
        </w:rPr>
        <w:t xml:space="preserve">Zitiervorschlag: § 36 BsGaV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https://recht.nulegal.eu/gesetze/BsGaV/36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