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BsGaV — Allgemeines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eine Betriebsstätte, die zur Förderung von Bodenschätzen entsteht und nach Abschluss der Förderung endet (Förderbetriebsstätte), gelten die §§ 1 bis 17, soweit in diesem Abschnitt keine abweichende Regelung getroffen wird. Ein Unternehmen, zu dem eine Förderbetriebsstätte gehört, ist ein Bergbauunternehmen oder ein Erdöl- oder Erdgasunternehmen.</w:t>
      </w:r>
    </w:p>
    <w:p>
      <w:r>
        <w:t xml:space="preserve">(2) Ein Explorationsrecht ist das Recht, Bodenschätze zu suchen oder zu fördern.</w:t>
      </w:r>
    </w:p>
    <w:p>
      <w:r>
        <w:rPr>
          <w:color w:val="555555"/>
          <w:sz w:val="17"/>
        </w:rPr>
        <w:t xml:space="preserve">Zitiervorschlag: § 35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