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BsGaV — Anzunehmende schuldrechtliche Beziehungen in besonderen Fällen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32 ist der Verrechnungspreis für die anzunehmende schuldrechtliche Beziehung zwischen der Bau- und Montagebetriebsstätte und dem übrigen Unternehmen nach einer Gewinnaufteilungsmethode zu bestimmen, wenn</w:t>
      </w:r>
    </w:p>
    <w:p>
      <w:pPr>
        <w:ind w:left="420"/>
      </w:pPr>
      <w:r>
        <w:t xml:space="preserve">1. die Personalfunktionen, die jeweils sowohl von der Bau- und Montagebetriebsstätte als auch vom übrigen Unternehmen im Hinblick auf die Erfüllung des Bau- oder Montagevertrags ausgeübt werden, keine Routinetätigkeit darstellen und dazu führen, dass jeweils vergleichbare Chancen und Risiken zuzuordnen sind, oder</w:t>
      </w:r>
    </w:p>
    <w:p>
      <w:pPr>
        <w:ind w:left="420"/>
      </w:pPr>
      <w:r>
        <w:t xml:space="preserve">2. für die Erfüllung des Bau- oder Montagevertrags sowohl von der Bau- und Montagebetriebsstätte als auch vom übrigen Unternehmen einzigartige immaterielle Werte selbst entwickelt oder erworben werden.</w:t>
      </w:r>
    </w:p>
    <w:p>
      <w:r>
        <w:t xml:space="preserve">(2) Der Aufteilungsschlüssel, der für die Gewinnaufteilungsmethode nach Absatz 1 anzuwenden ist, bestimmt sich nach den Beiträgen, die jeweils von der Bau- und Montagebetriebsstätte und vom übrigen Unternehmen für den Bau- und Montagevertrag geleistet werden. Der Umfang der geleisteten Beiträge berechnet sich nach den Kosten der maßgeblichen Personalfunktionen, die jeweils von der Bau- und Montagebetriebsstätte und vom übrigen Unternehmen für den Bau- und Montagevertrag ausgeübt werden. Zu berücksichtigen ist auch ein angemessener Anteil</w:t>
      </w:r>
    </w:p>
    <w:p>
      <w:pPr>
        <w:ind w:left="420"/>
      </w:pPr>
      <w:r>
        <w:t xml:space="preserve">1. an den Forschungs- und Entwicklungskosten der eingesetzten immateriellen Werte sowie</w:t>
      </w:r>
    </w:p>
    <w:p>
      <w:pPr>
        <w:ind w:left="420"/>
      </w:pPr>
      <w:r>
        <w:t xml:space="preserve">2. an vergeblichen Akquisitionskosten für nicht zustande gekommene Bau- und Montageverträge.</w:t>
      </w:r>
    </w:p>
    <w:p>
      <w:r>
        <w:t xml:space="preserve">Ein anderer Aufteilungsschlüssel ist anzuwenden, wenn dieser im Einzelfall zu einem Ergebnis der Bau- und Montagebetriebsstätte führt, das dem Fremdvergleichsgrundsatz besser entspricht.</w:t>
      </w:r>
    </w:p>
    <w:p>
      <w:r>
        <w:rPr>
          <w:color w:val="555555"/>
          <w:sz w:val="17"/>
        </w:rPr>
        <w:t xml:space="preserve">Zitiervorschlag: § 33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