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BsGaV — Besondere Zuordnungsregelungen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 materielles Wirtschaftsgut, das in einer Bau- und Montagebetriebsstätte genutzt wird, ist dieser nur dann gemäß § 5 Absatz 1 Satz 1 zuzuordnen, wenn dort neben der Nutzung zusätzlich auch Personalfunktionen ausgeübt werden, die im Zusammenhang mit der Anschaffung, der Herstellung, der Veräußerung oder der Verwertung des materiellen Wirtschaftsguts stehen. Die Zuordnung nach Satz 1 setzt voraus, dass die Bedeutung der genannten Personalfunktionen, die in der Bau- und Montagebetriebsstätte im Hinblick auf das materielle Wirtschaftsgut ausgeübt werden, gegenüber den insoweit ausgeübten Personalfunktionen des übrigen Unternehmens eindeutig überwiegt.</w:t>
      </w:r>
    </w:p>
    <w:p>
      <w:r>
        <w:t xml:space="preserve">(2) Ist ein materielles Wirtschaftsgut im Sinne des Absatzes 1 nicht der Bau- und Montagebetriebsstätte zuzuordnen, so ist es dem übrigen Unternehmen zuzuordnen und gilt als der Bau- und Montagebetriebsstätte unentgeltlich beigestellt.</w:t>
      </w:r>
    </w:p>
    <w:p>
      <w:r>
        <w:t xml:space="preserve">(3) Die Absätze 1 und 2 gelten sinngemäß für die Zuordnung von Vermögenswerten nach den §§ 6 bis 8.</w:t>
      </w:r>
    </w:p>
    <w:p>
      <w:r>
        <w:t xml:space="preserve">(4) Der Bau- oder Montagevertrag mit dem Auftraggeber ist ein Geschäftsvorfall im Sinne des § 9, der dem übrigen Unternehmen zuzuordnen ist. Diese Zuordnung ist nur dann mit den Rechtsfolgen des § 16 zu ändern, wenn</w:t>
      </w:r>
    </w:p>
    <w:p>
      <w:pPr>
        <w:ind w:left="420"/>
      </w:pPr>
      <w:r>
        <w:t xml:space="preserve">1. den in der Bau- und Montagebetriebsstätte ausgeübten Personalfunktionen im Zusammenhang mit dem Vertrag eindeutig die größte Bedeutung zukommt, wobei insbesondere die Vorbereitung und der Abschluss des Vertrags, die Bereitstellung der dafür erforderlichen Vermögenswerte und die Erfüllung der Verpflichtungen aus dem Vertrag zu berücksichtigen sind, oder</w:t>
      </w:r>
    </w:p>
    <w:p>
      <w:pPr>
        <w:ind w:left="420"/>
      </w:pPr>
      <w:r>
        <w:t xml:space="preserve">2. aus funktionalen Gründen davon auszugehen ist, dass die Bau- und Montagebetriebsstätte, wäre sie ein unabhängiger Dritter, den Bau- oder Montagevertrag mit dem Auftraggeber vom übrigen Unternehmen übernommen hätte.</w:t>
      </w:r>
    </w:p>
    <w:p>
      <w:r>
        <w:rPr>
          <w:color w:val="555555"/>
          <w:sz w:val="17"/>
        </w:rPr>
        <w:t xml:space="preserve">Zitiervorschlag: § 31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