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BsGaV — Hilfs- und Nebenrechnung</w:t>
      </w:r>
    </w:p>
    <w:p>
      <w:r>
        <w:rPr>
          <w:color w:val="555555"/>
          <w:sz w:val="18"/>
        </w:rPr>
        <w:t xml:space="preserve">Betriebsstättengewinnaufteilungsverordnung</w:t>
      </w:r>
    </w:p>
    <w:p>
      <w:r>
        <w:rPr>
          <w:color w:val="555555"/>
          <w:sz w:val="18"/>
        </w:rPr>
        <w:t xml:space="preserve">Stand: 06.01.2023 (konsolidierte Textfassung, kein amtliches Inkrafttretensdatum)</w:t>
      </w:r>
    </w:p>
    <w:p>
      <w:r>
        <w:t xml:space="preserve">(1) Für eine Betriebsstätte ist zum Beginn eines Wirtschaftsjahres eine Hilfs- und Nebenrechnung aufzustellen, während des Wirtschaftsjahres fortzuschreiben und zum Ende des Wirtschaftsjahres abzuschließen. Der Abschluss der Hilfs- und Nebenrechnung beinhaltet das Ergebnis der Betriebsstätte. Die Hilfs- und Nebenrechnung muss spätestens zum Zeitpunkt der Abgabe einer Steuererklärung erstellt sein,</w:t>
      </w:r>
    </w:p>
    <w:p>
      <w:pPr>
        <w:ind w:left="420"/>
      </w:pPr>
      <w:r>
        <w:t xml:space="preserve">1. zu der das Unternehmen verpflichtet ist (§ 149 der Abgabenordnung) und</w:t>
      </w:r>
    </w:p>
    <w:p>
      <w:pPr>
        <w:ind w:left="420"/>
      </w:pPr>
      <w:r>
        <w:t xml:space="preserve">2. in der die Einkünfte der Betriebsstätte zu berücksichtigen sind.</w:t>
      </w:r>
    </w:p>
    <w:p>
      <w:r>
        <w:t xml:space="preserve">(2) Die Hilfs- und Nebenrechnung beinhaltet alle Bestandteile, die der Betriebsstätte auf Grund ihrer Personalfunktionen (§ 4) zuzuordnen sind. Dazu gehören</w:t>
      </w:r>
    </w:p>
    <w:p>
      <w:pPr>
        <w:ind w:left="420"/>
      </w:pPr>
      <w:r>
        <w:t xml:space="preserve">1. die Vermögenswerte (§§ 5 bis 8), wenn sie von einem selbständigen Unternehmen in der steuerlichen Gewinnermittlung erfasst werden müssten,</w:t>
      </w:r>
    </w:p>
    <w:p>
      <w:pPr>
        <w:ind w:left="420"/>
      </w:pPr>
      <w:r>
        <w:t xml:space="preserve">2. das Dotationskapital (§§ 12 und 13),</w:t>
      </w:r>
    </w:p>
    <w:p>
      <w:pPr>
        <w:ind w:left="420"/>
      </w:pPr>
      <w:r>
        <w:t xml:space="preserve">3. die übrigen Passivposten (§ 14) sowie</w:t>
      </w:r>
    </w:p>
    <w:p>
      <w:pPr>
        <w:ind w:left="420"/>
      </w:pPr>
      <w:r>
        <w:t xml:space="preserve">4. die mit den Bestandteilen im Sinne von Satz 1 zusammenhängenden Betriebseinnahmen und Betriebsausgaben.</w:t>
      </w:r>
    </w:p>
    <w:p>
      <w:r>
        <w:t xml:space="preserve">Die Hilfs- und Nebenrechnung beinhaltet auch fiktive Betriebseinnahmen und fiktive Betriebsausgaben, die auf Grund anzunehmender schuldrechtlicher Beziehungen entstehen (§§ 16 und 17).</w:t>
      </w:r>
    </w:p>
    <w:p>
      <w:r>
        <w:t xml:space="preserve">(3) In den Aufzeichnungen, die nach § 90 Absatz 3 der Abgabenordnung zu erstellen und nach § 90 Absatz 4 der Abgabenordnung vorzulegen sind, sind auch darzulegen:</w:t>
      </w:r>
    </w:p>
    <w:p>
      <w:pPr>
        <w:ind w:left="420"/>
      </w:pPr>
      <w:r>
        <w:t xml:space="preserve">1. die Gründe für die Zuordnung der Bestandteile, einschließlich der Gründe für die Zuordnung der Geschäftsvorfälle des Unternehmens (§ 9), der Chancen und Risiken (§ 10) und der Sicherungsgeschäfte (§ 11), sowie</w:t>
      </w:r>
    </w:p>
    <w:p>
      <w:pPr>
        <w:ind w:left="420"/>
      </w:pPr>
      <w:r>
        <w:t xml:space="preserve">2. die Gründe für das Vorliegen anzunehmender schuldrechtlicher Beziehungen (§§ 16 und 17).</w:t>
      </w:r>
    </w:p>
    <w:p>
      <w:r>
        <w:t xml:space="preserve">(4) Wird eine Betriebsstätte begründet, so ist zu diesem Zeitpunkt die erste Hilfs- und Nebenrechnung für die Betriebsstätte zu erstellen. Wird eine Betriebsstätte beendet, so ist zu diesem Zeitpunkt die Hilfs- und Nebenrechnung abzuschließen. Der zum Zeitpunkt der Begründung oder der Beendigung einer Betriebsstätte anzunehmende Übergang von Vermögenswerten und Passivposten sowie von Chancen und Risiken zwischen der Betriebsstätte und dem übrigen Unternehmen begründet anzunehmende schuldrechtliche Beziehungen im Sinne des § 16.</w:t>
      </w:r>
    </w:p>
    <w:p>
      <w:r>
        <w:t xml:space="preserve">(5) Die Hilfs- und Nebenrechnung einer Betriebsstätte eines Unternehmens, das weder nach inländischem noch nach ausländischem Recht buchführungspflichtig ist und das auch tatsächlich keine Bücher führt, ist entsprechend einer Einnahmenüberschussrechnung im Sinne des § 4 Absatz 3 des Einkommensteuergesetzes zu erstellen. Zum Zeitpunkt der Beendigung der Betriebsstätte ist eine Hilfs- und Nebenrechnung zu erstellen, die eine Aufstellung der Vermögenswerte enthält.</w:t>
      </w:r>
    </w:p>
    <w:p>
      <w:r>
        <w:rPr>
          <w:color w:val="555555"/>
          <w:sz w:val="17"/>
        </w:rPr>
        <w:t xml:space="preserve">Zitiervorschlag: § 3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