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BsGaV — Pensionsfonds und Versicherungs-Zweckgesellschaften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23 bis 28 gelten sinngemäß für eine Betriebsstätte, die mit Versicherungsgeschäften vergleichbare Geschäfte betreibt und die</w:t>
      </w:r>
    </w:p>
    <w:p>
      <w:pPr>
        <w:ind w:left="420"/>
      </w:pPr>
      <w:r>
        <w:t xml:space="preserve">1. Teil eines Pensionsfonds im Sinne des § 112 des Versicherungsaufsichtsgesetzes oder eines vergleichbaren ausländischen Aufsichtsrechts ist oder</w:t>
      </w:r>
    </w:p>
    <w:p>
      <w:pPr>
        <w:ind w:left="420"/>
      </w:pPr>
      <w:r>
        <w:t xml:space="preserve">2. Teil einer Versicherungs-Zweckgesellschaft im Sinne des § 121g des Versicherungsaufsichtsgesetzes oder eines vergleichbaren ausländischen Aufsichtsrechts ist.</w:t>
      </w:r>
    </w:p>
    <w:p>
      <w:r>
        <w:rPr>
          <w:color w:val="555555"/>
          <w:sz w:val="17"/>
        </w:rPr>
        <w:t xml:space="preserve">Zitiervorschlag: § 29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