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BsGaV — Zuordnung von Einkünften aus Vermögenswerten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Einkünfte aus Vermögenswerten sind einer Versicherungsbetriebsstätte zuzuordnen, wenn diese Vermögenswerte mindestens einem der folgenden Zwecke dienen:</w:t>
      </w:r>
    </w:p>
    <w:p>
      <w:pPr>
        <w:ind w:left="420"/>
      </w:pPr>
      <w:r>
        <w:t xml:space="preserve">1. der Bedeckung der versicherungstechnischen Rückstellungen der Versicherungsbetriebsstätte,</w:t>
      </w:r>
    </w:p>
    <w:p>
      <w:pPr>
        <w:ind w:left="420"/>
      </w:pPr>
      <w:r>
        <w:t xml:space="preserve">2. der Bedeckung der aus Versicherungsverhältnissen entstandenen Verbindlichkeiten und Rechnungsabgrenzungsposten der Versicherungsbetriebsstätte oder</w:t>
      </w:r>
    </w:p>
    <w:p>
      <w:pPr>
        <w:ind w:left="420"/>
      </w:pPr>
      <w:r>
        <w:t xml:space="preserve">3. der Bedeckung des Dotationskapitals der Versicherungsbetriebsstätte.</w:t>
      </w:r>
    </w:p>
    <w:p>
      <w:r>
        <w:t xml:space="preserve">(2) Soweit eine direkte Zuordnung von Vermögenswerten und Einkünften nicht möglich ist, sind einer Versicherungsbetriebsstätte Einkünfte entsprechend der durchschnittlichen Kapitalanlagerendite des Versicherungsunternehmens zuzuordnen.</w:t>
      </w:r>
    </w:p>
    <w:p>
      <w:r>
        <w:rPr>
          <w:color w:val="555555"/>
          <w:sz w:val="17"/>
        </w:rPr>
        <w:t xml:space="preserve">Zitiervorschlag: § 27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