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BsGaV — Dotationskapital ausländischer Versicherungsbetriebsstätten inländischer Versicherungsunternehmen, Versicherungsaufsichtsrecht</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Der ausländischen Versicherungsbetriebsstätte eines inländischen Versicherungsunternehmens ist ein Dotationskapital entsprechend § 13 Absatz 1 zuzuordnen, es sei denn, das anzuwendende ausländische Versicherungsaufsichtsrecht enthält zwingende Regelungen zur Mindestkapitalausstattung, die die ausländische Versicherungsbetriebsstätte einhalten müsste, wenn sie ein selbständiges ausländisches Versicherungsunternehmen wäre (Mindestkapitalausstattungsmethode für Versicherungsbetriebsstätten). Das inländische Versicherungsunternehmen hat die Gründe für den Ansatz eines höheren Dotationskapitals als nach § 13 Absatz 1 nachzuweisen.</w:t>
      </w:r>
    </w:p>
    <w:p>
      <w:r>
        <w:t xml:space="preserve">(2) Ein höheres Dotationskapital als das versicherungsaufsichtsrechtliche Mindestkapital nach Absatz 1 darf das inländische Versicherungsunternehmen der ausländischen Versicherungsbetriebsstätte nur zuordnen, soweit dies zu einem Ergebnis der ausländischen Versicherungsbetriebsstätte führt, das dem Fremdvergleichsgrundsatz auf Grund der ihr zugeordneten Vermögenswerte sowie der ihr zugeordneten Chancen und Risiken besser entspricht. Das Dotationskapital darf den Betrag nicht übersteigen, der sich aus der Anwendung der modifizierten Kapitalaufteilungsmethode für Versicherungsbetriebsstätten nach § 25 Absatz 1 und 2 ergibt.</w:t>
      </w:r>
    </w:p>
    <w:p>
      <w:r>
        <w:t xml:space="preserve">(3) Ein höheres Dotationskapital als nach Absatz 2 darf der ausländischen Versicherungsbetriebsstätte nur zugeordnet werden, soweit dies das ausländische Versicherungsaufsichtsrecht erfordert und das inländische Versicherungsunternehmen den entsprechenden Regelungen für seine ausländische Versicherungsbetriebsstätte folgt. Satz 1 ist nur anzuwenden, soweit dem übrigen Unternehmen rechnerisch mindestens so viel Kapital verbleibt, wie nach inländischem Versicherungsaufsichtsrecht erforderlich wäre.</w:t>
      </w:r>
    </w:p>
    <w:p>
      <w:r>
        <w:t xml:space="preserve">(4) § 13 Absatz 5 ist mit der Maßgabe anzuwenden, dass die Höhe des zuzuordnenden Dotationskapitals auch anzupassen ist, soweit dies das ausländische Versicherungsaufsichtsrecht erfordert. Im Übrigen gilt § 13 sinngemäß.</w:t>
      </w:r>
    </w:p>
    <w:p>
      <w:r>
        <w:rPr>
          <w:color w:val="555555"/>
          <w:sz w:val="17"/>
        </w:rPr>
        <w:t xml:space="preserve">Zitiervorschlag: § 26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