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BsGaV — Dotationskapital inländischer Versicherungsbetriebsstätten ausländischer Versicherungsunternehmen, Versicherungsaufsichtsrecht</w:t>
      </w:r>
    </w:p>
    <w:p>
      <w:r>
        <w:rPr>
          <w:color w:val="555555"/>
          <w:sz w:val="18"/>
        </w:rPr>
        <w:t xml:space="preserve">Betriebsstättengewinnaufteilungsverordnung</w:t>
      </w:r>
    </w:p>
    <w:p>
      <w:r>
        <w:rPr>
          <w:color w:val="555555"/>
          <w:sz w:val="18"/>
        </w:rPr>
        <w:t xml:space="preserve">Stand: 31.12.2025 (konsolidierte Textfassung, kein amtliches Inkrafttretensdatum)</w:t>
      </w:r>
    </w:p>
    <w:p>
      <w:r>
        <w:t xml:space="preserve">(1) Zur Bestimmung des Dotationskapitals inländischer Versicherungsbetriebsstätten ausländischer Versicherungsunternehmen ist der Versicherungsbetriebsstätte in einem ersten Schritt ein Anteil an den Vermögenswerten des ausländischen Versicherungsunternehmens zuzuordnen, die der Bedeckung der versicherungstechnischen Rückstellungen, des Eigenkapitals und der aus Versicherungsverhältnissen entstandenen Verbindlichkeiten und Rechnungsabgrenzungsposten des ausländischen Versicherungsunternehmens dienen. Der Anteil der Versicherungsbetriebsstätte bemisst sich nach dem Verhältnis der versicherungstechnischen Rückstellungen für Versicherungsverträge, die der inländischen Versicherungsbetriebsstätte zuzuordnen sind, zu den versicherungstechnischen Rückstellungen, die in der Bilanz des ausländischen Versicherungsunternehmens insgesamt ausgewiesen sind.</w:t>
      </w:r>
    </w:p>
    <w:p>
      <w:r>
        <w:t xml:space="preserve">(2) In einem zweiten Schritt sind von den nach Absatz 1 zugeordneten Vermögenswerten die versicherungstechnischen Rückstellungen und die aus Versicherungsverhältnissen entstandenen Verbindlichkeiten und Rechnungsabgrenzungsposten abzuziehen, die zu bestimmen sind nach den §§ 341e bis 341h des Handelsgesetzbuchs sowie nach der Versicherungsunternehmens-Rechnungslegungsverordnung vom 8. November 1994 (BGBl. I S. 3378), die zuletzt durch Artikel 27 Absatz 9 des Gesetzes vom 4. Juli 2013 (BGBl. I S. 1981) geändert worden ist, in der jeweils geltenden Fassung. Das Ergebnis ist das der inländischen Versicherungsbetriebsstätte zuzuordnende Dotationskapital (modifizierte Kapitalaufteilungsmethode für Versicherungsbetriebsstätten).</w:t>
      </w:r>
    </w:p>
    <w:p>
      <w:r>
        <w:t xml:space="preserve">(3) Ein geringeres Dotationskapital als nach Absatz 2 darf das ausländische Versicherungsunternehmen der inländischen Versicherungsbetriebsstätte nur zuordnen, soweit dies zu einem Ergebnis der inländischen Versicherungsbetriebsstätte führt, das im Verhältnis zum übrigen Unternehmen dem Fremdvergleichsgrundsatz auf Grund der ihr zugeordneten Vermögenswerte sowie der ihr zugeordneten Chancen und Risiken besser entspricht.</w:t>
      </w:r>
    </w:p>
    <w:p>
      <w:r>
        <w:t xml:space="preserve">(4) Ungeachtet der Absätze 1 bis 3 hat die inländische Versicherungsbetriebsstätte mindestens ein Dotationskapital auszuweisen, das sie nach versicherungsaufsichtsrechtlichen Grundsätzen als Eigenkapital ausweisen müsste, wenn sie ein rechtlich selbständiges Versicherungsunternehmen wäre. Als Mindestkapital gilt die Mindestkapitalanforderung nach der Kapitalausstattungs-Verordnung (Mindestkapitalausstattungsmethode für Versicherungsbetriebsstätten). Wird die Mindestkapitalausstattungsmethode für Versicherungsbetriebsstätten angewandt, ist das Dotationskapital um 20 Prozent der Mindestkapitalanforderung zu erhöhen, es sei denn, ein geringerer Zuschlag führt zu einem Ergebnis der Versicherungsbetriebsstätte, das dem Fremdvergleichsgrundsatz besser entspricht.</w:t>
      </w:r>
    </w:p>
    <w:p>
      <w:r>
        <w:t xml:space="preserve">(5) Sofern das in der inländischen Handelsbilanz der inländischen Versicherungsbetriebsstätte tatsächlich ausgewiesene Kapital den nach den Absätzen 1 bis 4 ermittelten Betrag übersteigt, ist dieses als Dotationskapital zuzuordnen.</w:t>
      </w:r>
    </w:p>
    <w:p>
      <w:r>
        <w:t xml:space="preserve">(6) § 12 Absatz 6 ist mit der Maßgabe anzuwenden, dass die Höhe des zuzuordnenden Dotationskapitals auch anzupassen ist, soweit dies das inländische Versicherungsaufsichtsrecht erfordert. Im Übrigen gilt § 12 sinngemäß.</w:t>
      </w:r>
    </w:p>
    <w:p>
      <w:r>
        <w:t xml:space="preserve">(7) Weicht das Dotationskapital, das einer inländischen Versicherungsbetriebsstätte vom ausländischen Versicherungsunternehmen zugeordnet wurde, von dem Dotationskapital ab, das nach den Absätzen 1 bis 6 zuzuordnen ist, so sind die zugeordneten Vermögenswerte um den Unterschiedsbetrag anzupassen.</w:t>
      </w:r>
    </w:p>
    <w:p>
      <w:r>
        <w:rPr>
          <w:color w:val="555555"/>
          <w:sz w:val="17"/>
        </w:rPr>
        <w:t xml:space="preserve">Zitiervorschlag: § 25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