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BsGaV — Allgemeines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Betriebsstätte,</w:t>
      </w:r>
    </w:p>
    <w:p>
      <w:pPr>
        <w:ind w:left="420"/>
      </w:pPr>
      <w:r>
        <w:t xml:space="preserve">1. die Teil eines Versicherungsunternehmens im Sinne des § 1 Absatz 1 Nummer 1 des Versicherungsaufsichtsgesetzes oder Teil eines Versicherungsunternehmens im Sinne des ausländischen Versicherungsaufsichtsrechts ist und</w:t>
      </w:r>
    </w:p>
    <w:p>
      <w:pPr>
        <w:ind w:left="420"/>
      </w:pPr>
      <w:r>
        <w:t xml:space="preserve">2. die Versicherungsgeschäfte betreibt</w:t>
      </w:r>
    </w:p>
    <w:p>
      <w:r>
        <w:t xml:space="preserve">ist eine Versicherungsbetriebsstätte, für die die §§ 1 bis 17 gelten, soweit in diesem Abschnitt keine abweichende Regelung getroffen wird.</w:t>
      </w:r>
    </w:p>
    <w:p>
      <w:r>
        <w:rPr>
          <w:color w:val="555555"/>
          <w:sz w:val="17"/>
        </w:rPr>
        <w:t xml:space="preserve">Zitiervorschlag: § 23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