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BsGaV — Globaler Handel mit Finanzinstrumenten</w:t>
      </w:r>
    </w:p>
    <w:p>
      <w:r>
        <w:rPr>
          <w:color w:val="555555"/>
          <w:sz w:val="18"/>
        </w:rPr>
        <w:t xml:space="preserve">Betriebsstättengewinnaufteilungsverordnung</w:t>
      </w:r>
    </w:p>
    <w:p>
      <w:r>
        <w:rPr>
          <w:color w:val="555555"/>
          <w:sz w:val="18"/>
        </w:rPr>
        <w:t xml:space="preserve">Stand: 10.06.2019 (konsolidierte Textfassung, kein amtliches Inkrafttretensdatum)</w:t>
      </w:r>
    </w:p>
    <w:p>
      <w:r>
        <w:t xml:space="preserve">(1) Finanzinstrumente im Sinne des § 1 Absatz 11 Satz 1 des Kreditwesengesetzes, mit denen durch Finanzinstitute auf Märkten der ganzen Welt rund um die Uhr gehandelt wird (globaler Handel mit Finanzinstrumenten), sind entsprechend § 19 zuzuordnen. Der globale Handel mit Finanzinstrumenten umfasst insbesondere</w:t>
      </w:r>
    </w:p>
    <w:p>
      <w:pPr>
        <w:ind w:left="420"/>
      </w:pPr>
      <w:r>
        <w:t xml:space="preserve">1. die globale Emission und den globalen Vertrieb von Finanzinstrumenten,</w:t>
      </w:r>
    </w:p>
    <w:p>
      <w:pPr>
        <w:ind w:left="420"/>
      </w:pPr>
      <w:r>
        <w:t xml:space="preserve">2. die Tätigkeit als Market Maker im Sinne des § 36 Absatz 5 des Wertpapierhandelsgesetzes für physische Wertpapiere,</w:t>
      </w:r>
    </w:p>
    <w:p>
      <w:pPr>
        <w:ind w:left="420"/>
      </w:pPr>
      <w:r>
        <w:t xml:space="preserve">3. die Tätigkeit an den Aktien- und Rohstoffbörsen,</w:t>
      </w:r>
    </w:p>
    <w:p>
      <w:pPr>
        <w:ind w:left="420"/>
      </w:pPr>
      <w:r>
        <w:t xml:space="preserve">4. die Entwicklung neuer Finanzinstrumente.</w:t>
      </w:r>
    </w:p>
    <w:p>
      <w:r>
        <w:t xml:space="preserve">(2) Wird im globalen Handel mit Finanzinstrumenten die unternehmerische Risikoübernahmefunktion in verschiedenen Bankbetriebsstätten ausgeübt und lässt sich eine eindeutige Zuordnung von einzelnen Finanzinstrumenten nicht oder nur mit unzumutbarem Aufwand durchführen, so sind die aus den Finanzinstrumenten steuerlich realisierten und nichtrealisierten Ergebnisse auf die Bankbetriebsstätten, die am globalen Handel beteiligt sind, nach einem sachgerechten Aufteilungsschlüssel aufzuteilen. Werden die Chancen und Risiken aus den Finanzinstrumenten für die Ermittlung des Dotationskapitals nach den §§ 20 und 21 entsprechend Satz 1 anteilig berücksichtigt, so können die Finanzinstrumente abweichend von Satz 1 zugeordnet werden, wenn</w:t>
      </w:r>
    </w:p>
    <w:p>
      <w:pPr>
        <w:ind w:left="420"/>
      </w:pPr>
      <w:r>
        <w:t xml:space="preserve">1. dies in der Hilfs- und Nebenrechnung nach § 3 ausgewiesen wird und</w:t>
      </w:r>
    </w:p>
    <w:p>
      <w:pPr>
        <w:ind w:left="420"/>
      </w:pPr>
      <w:r>
        <w:t xml:space="preserve">2. die Ergebnisse der Bankbetriebsstätten, die am globalen Handel teilnehmen, nicht beeinflusst werden.</w:t>
      </w:r>
    </w:p>
    <w:p>
      <w:r>
        <w:t xml:space="preserve">(3) Für anzunehmende schuldrechtliche Beziehungen, die die unternehmerische Risikoübernahmefunktion im globalen Handel mit Finanzinstrumenten betreffen, ist die geschäftsvorfallbezogene Restgewinnaufteilungsmethode anzuwenden, es sei denn, im Einzelfall führt die Anwendung einer anderen Methode zu einem Ergebnis, das dem Fremdvergleichsgrundsatz besser entspricht.</w:t>
      </w:r>
    </w:p>
    <w:p>
      <w:r>
        <w:rPr>
          <w:color w:val="555555"/>
          <w:sz w:val="17"/>
        </w:rPr>
        <w:t xml:space="preserve">Zitiervorschlag: § 22 BsGaV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https://recht.nulegal.eu/gesetze/BsGaV/22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