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BsGaV — Dotationskapital inländischer Bankbetriebsstätten ausländischer Kreditinstitute, Bankenaufsichtsrecht</w:t>
      </w:r>
    </w:p>
    <w:p>
      <w:r>
        <w:rPr>
          <w:color w:val="555555"/>
          <w:sz w:val="18"/>
        </w:rPr>
        <w:t xml:space="preserve">Betriebsstättengewinnaufteilungsverordnung</w:t>
      </w:r>
    </w:p>
    <w:p>
      <w:r>
        <w:rPr>
          <w:color w:val="555555"/>
          <w:sz w:val="18"/>
        </w:rPr>
        <w:t xml:space="preserve">Stand: 26.06.2021 (konsolidierte Textfassung, kein amtliches Inkrafttretensdatum)</w:t>
      </w:r>
    </w:p>
    <w:p>
      <w:r>
        <w:t xml:space="preserve">(1) Einer inländischen Bankbetriebsstätte eines ausländischen Kreditinstituts ist der Anteil am Eigenkapital des ausländischen Kreditinstituts zuzuordnen, der ihrem Anteil an der Summe der risikogewichteten Positionsbeträge des ausländischen Kreditinstituts im Sinne des ausländischen Bankenaufsichtsrechts entspricht (Kapitalaufteilungsmethode für Bankbetriebsstätten). Für die Ermittlung des jeweiligen Anteils sind die kreditinstitutsinternen risikogewichteten Positionsbeträge unberücksichtigt zu lassen.</w:t>
      </w:r>
    </w:p>
    <w:p>
      <w:r>
        <w:t xml:space="preserve">(2) Ein geringeres Dotationskapital als nach Absatz 1 darf das ausländische Kreditinstitut der inländischen Bankbetriebsstätte nur zuordnen, soweit dies zu einem Ergebnis der inländischen Bankbetriebsstätte führt, das im Verhältnis zum übrigen Unternehmen dem Fremdvergleichsgrundsatz auf Grund der ihr zugeordneten Vermögenswerte sowie der ihr zugeordneten Chancen und Risiken besser entspricht. Die inländische Bankbetriebsstätte muss jedoch mindestens ein Dotationskapital ausweisen, das sie nach bankenaufsichtsrechtlichen Grundsätzen als Kernkapital ausweisen müsste, wenn sie ein rechtlich selbständiges, inländisches Kreditinstitut wäre (Mindestkapitalausstattungsmethode für Bankbetriebsstätten). Wird die Mindestkapitalausstattungsmethode angewandt, so ist das Dotationskapital um 0,5 Prozentpunkte der Summe der risikogewichteten Positionsbeträge der inländischen Bankbetriebsstätte zu erhöhen, es sei denn, ein geringerer Zuschlag führt zu einem Ergebnis der Bankbetriebsstätte, das dem Fremdvergleichsgrundsatz besser entspricht.</w:t>
      </w:r>
    </w:p>
    <w:p>
      <w:r>
        <w:t xml:space="preserve">(3) Ein ausländisches Kreditinstitut kann davon absehen, Absatz 1 und 2 für seine inländische Bankbetriebsstätte anzuwenden, wenn</w:t>
      </w:r>
    </w:p>
    <w:p>
      <w:pPr>
        <w:ind w:left="420"/>
      </w:pPr>
      <w:r>
        <w:t xml:space="preserve">1. die Summe der Aktivposten der Hilfs- und Nebenrechnung der inländischen Bankbetriebsstätte weniger als 1 Milliarde Euro beträgt und</w:t>
      </w:r>
    </w:p>
    <w:p>
      <w:pPr>
        <w:ind w:left="420"/>
      </w:pPr>
      <w:r>
        <w:t xml:space="preserve">2. für die inländische Bankbetriebsstätte ein Dotationskapital in Höhe von mindestens 3 Prozent der Summe der Aktivposten der Hilfs- und Nebenrechnung ausgewiesen wird, mindestens aber 5 Millionen Euro.</w:t>
      </w:r>
    </w:p>
    <w:p>
      <w:r>
        <w:t xml:space="preserve">(4) Für eine inländische Bankbetriebsstätte eines ausländischen Kreditinstituts mit Sitz in einem Staat der Europäischen Union oder des Europäischen Wirtschaftsraumes, in dem ein Kreditinstitut eine Regelung anwenden kann, die dem § 2a des Kreditwesengesetzes entspricht, gilt Absatz 1 nur, wenn das ausländische Kreditinstitut</w:t>
      </w:r>
    </w:p>
    <w:p>
      <w:pPr>
        <w:ind w:left="420"/>
      </w:pPr>
      <w:r>
        <w:t xml:space="preserve">1. die Regelung nicht anwendet oder</w:t>
      </w:r>
    </w:p>
    <w:p>
      <w:pPr>
        <w:ind w:left="420"/>
      </w:pPr>
      <w:r>
        <w:t xml:space="preserve">2. nachweist, dass seine Eigenkapitalausstattung nach dem anzuwendenden Bankenaufsichtsrecht auch dann ausreichen würde, wenn es die Regelung nicht anwenden würde.</w:t>
      </w:r>
    </w:p>
    <w:p>
      <w:r>
        <w:t xml:space="preserve">Wendet das ausländische Kreditinstitut die ausländische Regelung an und wird der Nachweis nach Satz 1 Nummer 2 nicht geführt, so ist für die Ermittlung des Dotationskapitals, das der inländischen Bankbetriebsstätte zuzuordnen ist, Absatz 1 sinngemäß anzuwenden mit der Maßgabe, dass</w:t>
      </w:r>
    </w:p>
    <w:p>
      <w:pPr>
        <w:ind w:left="420"/>
      </w:pPr>
      <w:r>
        <w:t xml:space="preserve">1. für die Ermittlung des Eigenkapitals, das der Berechnung zugrunde zu legen ist, das bankenaufsichtsrechtliche Kernkapital derjenigen ausländischen Kreditinstitutsgruppe maßgebend ist, die, wenn sie eine inländische Institutsgruppe wäre, die Voraussetzungen von § 10a Absatz 1 des Kreditwesengesetzes in Verbindung mit den Artikeln 92 ff. der Verordnung (EU) Nr. 575/2013 des Europäischen Parlaments und des Rates vom 26. Juni 2013 über Aufsichtsanforderungen an Kreditinstitute und Wertpapierfirmen und zur Änderung der Verordnung (EU) Nr. 646/2012 (ABl. L 176 vom 27.6.2013, S. 1, L 208 vom 2.8.2013, S. 68, L 321 vom 30.11.2013, S. 6) in der jeweils geltenden Fassung erfüllen würde, und</w:t>
      </w:r>
    </w:p>
    <w:p>
      <w:pPr>
        <w:ind w:left="420"/>
      </w:pPr>
      <w:r>
        <w:t xml:space="preserve">2. für die Ermittlung des Anteils der inländischen Bankbetriebsstätte am Kernkapital der ausländischen Kreditinstitutsgruppe die Summe der risikogewichteten Positionsbeträge der Bankbetriebsstätte zur Summe der risikogewichteten Positionsbeträge der Kreditinstitutsgruppe, ohne Berücksichtigung der gruppeninternen risikogewichteten Positionsbeträge, ins Verhältnis zu setzen ist.</w:t>
      </w:r>
    </w:p>
    <w:p>
      <w:r>
        <w:t xml:space="preserve">(5) § 12 Absatz 6 ist mit der Maßgabe anzuwenden, dass die Höhe des der inländischen Bankbetriebsstätte zuzuordnenden Dotationskapitals auch anzupassen ist, soweit dies das inländische Bankenaufsichtsrecht erfordert. Im Übrigen gilt § 12 sinngemäß.</w:t>
      </w:r>
    </w:p>
    <w:p>
      <w:r>
        <w:t xml:space="preserve">(6) Die Absätze 1 bis 5 gelten nicht für inländische Betriebsstätten ausländischer Finanzdienstleistungsinstitute oder Wertpapierinstitute, die keinen bankenaufsichtsrechtlichen Eigenkapitalanforderungen unterliegen.</w:t>
      </w:r>
    </w:p>
    <w:p>
      <w:r>
        <w:rPr>
          <w:color w:val="555555"/>
          <w:sz w:val="17"/>
        </w:rPr>
        <w:t xml:space="preserve">Zitiervorschlag: § 20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