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BsGaV — Allgemeines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Eine Betriebsstätte,</w:t>
      </w:r>
    </w:p>
    <w:p>
      <w:pPr>
        <w:ind w:left="420"/>
      </w:pPr>
      <w:r>
        <w:t xml:space="preserve">1. die Teil ist</w:t>
      </w:r>
    </w:p>
    <w:p>
      <w:pPr>
        <w:ind w:left="780"/>
      </w:pPr>
      <w:r>
        <w:t xml:space="preserve">a) eines Kreditinstituts im Sinne des § 1 Absatz 1 des Kreditwesengesetzes,</w:t>
      </w:r>
    </w:p>
    <w:p>
      <w:pPr>
        <w:ind w:left="780"/>
      </w:pPr>
      <w:r>
        <w:t xml:space="preserve">b) eines Finanzdienstleistungsinstituts im Sinne des § 1 Absatz 1a des Kreditwesengesetzes,</w:t>
      </w:r>
    </w:p>
    <w:p>
      <w:pPr>
        <w:ind w:left="780"/>
      </w:pPr>
      <w:r>
        <w:t xml:space="preserve">c) eines Wertpapierinstituts im Sinne des § 1 Absatz 2 des Wertpapierinstitutsgesetzes oder</w:t>
      </w:r>
    </w:p>
    <w:p>
      <w:pPr>
        <w:ind w:left="780"/>
      </w:pPr>
      <w:r>
        <w:t xml:space="preserve">d) eines vergleichbaren Unternehmens im Sinne des ausländischen Bankenaufsichtsrechts und</w:t>
      </w:r>
    </w:p>
    <w:p>
      <w:pPr>
        <w:ind w:left="420"/>
      </w:pPr>
      <w:r>
        <w:t xml:space="preserve">2. die Bankgeschäfte betreibt,</w:t>
      </w:r>
    </w:p>
    <w:p>
      <w:r>
        <w:t xml:space="preserve">ist eine Bankbetriebsstätte, für die die §§ 1 bis 17 gelten, soweit in diesem Abschnitt keine abweichende Regelung getroffen wird.</w:t>
      </w:r>
    </w:p>
    <w:p>
      <w:r>
        <w:rPr>
          <w:color w:val="555555"/>
          <w:sz w:val="17"/>
        </w:rPr>
        <w:t xml:space="preserve">Zitiervorschlag: § 18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