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BsGaV — Grundsatz</w:t>
      </w:r>
    </w:p>
    <w:p>
      <w:r>
        <w:rPr>
          <w:color w:val="555555"/>
          <w:sz w:val="18"/>
        </w:rPr>
        <w:t xml:space="preserve">Betriebsstättengewinnaufteilungsverordnung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Zwischen einer Betriebsstätte und dem übrigen Unternehmen liegt eine anzunehmende schuldrechtliche Beziehung im Sinne des § 1 Absatz 4 Satz 1 Nummer 2 des Außensteuergesetzes vor, wenn wirtschaftliche Vorgänge festgestellt werden,</w:t>
      </w:r>
    </w:p>
    <w:p>
      <w:pPr>
        <w:ind w:left="420"/>
      </w:pPr>
      <w:r>
        <w:t xml:space="preserve">1. die im Verhältnis zwischen der Betriebsstätte und dem übrigen Unternehmen eine Änderung der Zuordnung nach den §§ 5 bis 11 erforderlich machen oder</w:t>
      </w:r>
    </w:p>
    <w:p>
      <w:pPr>
        <w:ind w:left="420"/>
      </w:pPr>
      <w:r>
        <w:t xml:space="preserve">2. die, wären die Betriebsstätte und das übrige Unternehmen voneinander unabhängige Unternehmen,</w:t>
      </w:r>
    </w:p>
    <w:p>
      <w:pPr>
        <w:ind w:left="780"/>
      </w:pPr>
      <w:r>
        <w:t xml:space="preserve">a) durch schuldrechtliche Vereinbarungen geregelt würden oder</w:t>
      </w:r>
    </w:p>
    <w:p>
      <w:pPr>
        <w:ind w:left="780"/>
      </w:pPr>
      <w:r>
        <w:t xml:space="preserve">b) zur Geltendmachung von Rechtspositionen führen würden.</w:t>
      </w:r>
    </w:p>
    <w:p>
      <w:r>
        <w:t xml:space="preserve">(2) Für anzunehmende schuldrechtliche Beziehungen sind Verrechnungspreise anzusetzen, die dem Fremdvergleichsgrundsatz entsprechen. Diese Verrechnungspreise führen zu fiktiven Betriebseinnahmen und fiktiven Betriebsausgaben.</w:t>
      </w:r>
    </w:p>
    <w:p>
      <w:r>
        <w:t xml:space="preserve">(3) Nutzt eine Betriebsstätte finanzielle Mittel des übrigen Unternehmens, so liegt keine anzunehmende schuldrechtliche Beziehung vor. Dies gilt nicht, wenn</w:t>
      </w:r>
    </w:p>
    <w:p>
      <w:pPr>
        <w:ind w:left="420"/>
      </w:pPr>
      <w:r>
        <w:t xml:space="preserve">1. § 17 anzuwenden ist oder</w:t>
      </w:r>
    </w:p>
    <w:p>
      <w:pPr>
        <w:ind w:left="420"/>
      </w:pPr>
      <w:r>
        <w:t xml:space="preserve">2. auf Grund der Geschäftstätigkeit einer Betriebsstätte im laufenden Wirtschaftsjahr finanzielle Mittel der Betriebsstätte entstehen, die nachweislich für bestimmte Zwecke im übrigen Unternehmen genutzt werden.</w:t>
      </w:r>
    </w:p>
    <w:p>
      <w:r>
        <w:t xml:space="preserve">Eine anzunehmende schuldrechtliche Beziehung nach Satz 2 Nummer 2 gilt als Zurverfügungstellung finanzieller Mittel zwischen der Betriebsstätte und dem übrigen Unternehmen und endet spätestens</w:t>
      </w:r>
    </w:p>
    <w:p>
      <w:pPr>
        <w:ind w:left="420"/>
      </w:pPr>
      <w:r>
        <w:t xml:space="preserve">1. mit dem Ende des laufenden Wirtschaftsjahres oder</w:t>
      </w:r>
    </w:p>
    <w:p>
      <w:pPr>
        <w:ind w:left="420"/>
      </w:pPr>
      <w:r>
        <w:t xml:space="preserve">2. mit einer Anpassung des Dotationskapitals nach § 12 Absatz 6 oder § 13 Absatz 5.</w:t>
      </w:r>
    </w:p>
    <w:p>
      <w:r>
        <w:rPr>
          <w:color w:val="555555"/>
          <w:sz w:val="17"/>
        </w:rPr>
        <w:t xml:space="preserve">Zitiervorschlag: § 16 BsGaV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https://recht.nulegal.eu/gesetze/BsGaV/16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