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BsGaV — Zuordnung übriger Passivposten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Der Betriebsstätte eines Unternehmens, das nach inländischem oder ausländischem Recht buchführungspflichtig ist oder tatsächlich Bücher führt, sind nach der Zuordnung der in der Hilfs- und Nebenrechnung auszuweisenden Risiken und des Dotationskapitals die übrigen Passivposten des Unternehmens zuzuordnen, die im unmittelbaren Zusammenhang mit den der Betriebsstätte zugeordneten Vermögenswerten sowie mit den ihr zugeordneten Chancen und Risiken stehen (direkte Zuordnung).</w:t>
      </w:r>
    </w:p>
    <w:p>
      <w:r>
        <w:t xml:space="preserve">(2) Übersteigt die Summe der übrigen Passivposten, die der Betriebsstätte direkt zugeordnet werden könnten (direkt zuordnungsfähige Passivposten), den Betrag, der nach der Zuordnung der in der Hilfs- und Nebenrechnung auszuweisenden Risiken und des Dotationskapitals für eine Zuordnung von Passivposten zur Betriebsstätte verbleibt, so sind diese direkt zuordnungsfähigen Passivposten anteilig zu kürzen. Der Anteil der direkt zuordnungsfähigen Passivposten, der nach der Kürzung verbleibt, ist der Betriebsstätte zuzuordnen.</w:t>
      </w:r>
    </w:p>
    <w:p>
      <w:r>
        <w:t xml:space="preserve">(3) Verbleibt nach der Bestimmung der in der Hilfs- und Nebenrechnung auszuweisenden Risiken und des Dotationskapitals und der direkten Zuordnung übriger Passivposten ein Fehlbetrag an Passivposten für die Betriebsstätte, so ist dieser Fehlbetrag mit übrigen Passivposten des Unternehmens aufzufüllen (indirekte Zuordnung).</w:t>
      </w:r>
    </w:p>
    <w:p>
      <w:r>
        <w:rPr>
          <w:color w:val="555555"/>
          <w:sz w:val="17"/>
        </w:rPr>
        <w:t xml:space="preserve">Zitiervorschlag: § 14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