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BsGaV — Zurechnung von Einkünften zu einer Betriebsstätte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steuerliche Zurechnung von Einkünften zu einer Betriebsstätte eines Unternehmens nach § 1 Absatz 5 des Außensteuergesetzes ist eine Funktions- und Risikoanalyse der Geschäftstätigkeit der Betriebsstätte (§ 12 der Abgabenordnung) als Teil der Geschäftstätigkeit des Unternehmens durchzuführen. Aufbauend auf der Funktions- und Risikoanalyse nach Satz 1 ist eine Vergleichbarkeitsanalyse der Geschäftstätigkeit der Betriebsstätte durchzuführen, um für die Geschäftsbeziehungen der Betriebsstätte im Sinne des § 1 Absatz 4 des Außensteuergesetzes Verrechnungspreise zu bestimmen, die dem Fremdvergleichsgrundsatz (§ 1 Absatz 1 Satz 1 des Außensteuergesetzes) entsprechen.</w:t>
      </w:r>
    </w:p>
    <w:p>
      <w:r>
        <w:t xml:space="preserve">(2) Auf Grundlage der Funktions- und Risikoanalyse der Geschäftstätigkeit der Betriebsstätte</w:t>
      </w:r>
    </w:p>
    <w:p>
      <w:pPr>
        <w:ind w:left="420"/>
      </w:pPr>
      <w:r>
        <w:t xml:space="preserve">1. sind die Personalfunktionen (§ 1 Absatz 5 Satz 3 Nummer 1 des Außensteuergesetzes), die der Betriebsstätte oder dem übrigen Unternehmen zuzuordnen sind, festzustellen, insbesondere die maßgeblichen Personalfunktionen,</w:t>
      </w:r>
    </w:p>
    <w:p>
      <w:pPr>
        <w:ind w:left="420"/>
      </w:pPr>
      <w:r>
        <w:t xml:space="preserve">2. sind der Betriebsstätte, ausgehend von den maßgeblichen Personalfunktionen, Vermögenswerte (§ 1 Absatz 5 Satz 3 Nummer 2 des Außensteuergesetzes) sowie Chancen und Risiken (§ 1 Absatz 5 Satz 3 Nummer 3 des Außensteuergesetzes) zuzuordnen,</w:t>
      </w:r>
    </w:p>
    <w:p>
      <w:pPr>
        <w:ind w:left="420"/>
      </w:pPr>
      <w:r>
        <w:t xml:space="preserve">3. ist der Betriebsstätte, ausgehend von den ihr zugeordneten Vermögenswerten sowie von den ihr zugeordneten Chancen und Risiken, ein Dotationskapital (§ 1 Absatz 5 Satz 3 Nummer 4 des Außensteuergesetzes) zuzuordnen,</w:t>
      </w:r>
    </w:p>
    <w:p>
      <w:pPr>
        <w:ind w:left="420"/>
      </w:pPr>
      <w:r>
        <w:t xml:space="preserve">4. sind der Betriebsstätte Passivposten zuzuordnen, soweit dies auf Grund der Zuordnung von Vermögenswerten, von Chancen und Risiken sowie von Dotationskapital erforderlich ist,</w:t>
      </w:r>
    </w:p>
    <w:p>
      <w:pPr>
        <w:ind w:left="420"/>
      </w:pPr>
      <w:r>
        <w:t xml:space="preserve">5. sind der Betriebsstätte Geschäftsvorfälle des Unternehmens mit unabhängigen Dritten und mit nahestehenden Personen im Sinne des § 1 Absatz 2 des Außensteuergesetzes zuzuordnen und</w:t>
      </w:r>
    </w:p>
    <w:p>
      <w:pPr>
        <w:ind w:left="420"/>
      </w:pPr>
      <w:r>
        <w:t xml:space="preserve">6. sind die anzunehmenden schuldrechtlichen Beziehungen im Sinne des § 1 Absatz 4 Satz 1 Nummer 2 des Außensteuergesetzes zu bestimmen, die die Betriebsstätte zum übrigen Unternehmen unterhält.</w:t>
      </w:r>
    </w:p>
    <w:p>
      <w:r>
        <w:rPr>
          <w:color w:val="555555"/>
          <w:sz w:val="17"/>
        </w:rPr>
        <w:t xml:space="preserve">Zitiervorschlag: § 1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