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Rindern der Ausbruch der Brucellose amtlich festgestellt, so hat der Tierhalter des Seuchenbestandes sowohl die Maßregeln des § 8 Absatz 1 Satz 1 einzuhalten als auch an den Zufahrten und Eingängen des Gehöftes, des Stalles oder des sonstigen Standortes Schilder mit der deutlichen und haltbaren Aufschrift „Rinderbrucellose – Unbefugter Zutritt verboten“ gut sichtbar anzubringen.</w:t>
      </w:r>
    </w:p>
    <w:p>
      <w:r>
        <w:t xml:space="preserve">(2) Die zuständige Behörde ordnet in Bezug auf den Seuchenbestand die Maßnahmen nach § 8 Absatz 2 an, soweit diese nicht bereits im Falle des Verdachts auf Brucellose angeordnet worden sind.</w:t>
      </w:r>
    </w:p>
    <w:p>
      <w:r>
        <w:t xml:space="preserve">(3) § 8 Absatz 3 gilt entsprechend.</w:t>
      </w:r>
    </w:p>
    <w:p>
      <w:r>
        <w:rPr>
          <w:color w:val="555555"/>
          <w:sz w:val="17"/>
        </w:rPr>
        <w:t xml:space="preserve">Zitiervorschlag: § 9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