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BrucelloseV</w:t>
      </w:r>
    </w:p>
    <w:p>
      <w:r>
        <w:rPr>
          <w:color w:val="555555"/>
          <w:sz w:val="18"/>
        </w:rPr>
        <w:t xml:space="preserve">Brucellose-Verordnung</w:t>
      </w:r>
    </w:p>
    <w:p>
      <w:r>
        <w:rPr>
          <w:color w:val="555555"/>
          <w:sz w:val="18"/>
        </w:rPr>
        <w:t xml:space="preserve">Stand: 10.06.2019 (konsolidierte Textfassung, kein amtliches Inkrafttretensdatum)</w:t>
      </w:r>
    </w:p>
    <w:p>
      <w:r>
        <w:t xml:space="preserve">(1) Ist bei Rindern der Ausbruch der Brucellose oder der Verdacht auf Brucellose amtlich festgestellt, so hat der Tierhalter von allen über zwölf Monate alten Rindern des Bestandes eine Blutprobe entnehmen zu lassen und nach Anlage C der Richtlinie 64/432/EWG untersuchen zu lassen. Die zuständige Behörde kann für Rinder, die ausschließlich zur Mast gehalten werden, Ausnahmen zulassen, soweit Belange der Tierseuchenbekämpfung nicht entgegenstehen.</w:t>
      </w:r>
    </w:p>
    <w:p>
      <w:r>
        <w:t xml:space="preserve">(2) Ist bei Rindern der Ausbruch der Brucellose oder der Verdacht auf Brucellose amtlich festgestellt, so kann die zuständige Behörde die Untersuchung nach Absatz 1 Satz 1 auch für Pferde, Hunde und andere für die Seuche empfängliche Tiere, die mit Rindern des Bestandes in demselben Stall oder an demselben Standort untergebracht sind oder waren, sowie für unter 12 Monate alte Rinder anordnen. Sie kann ferner die Einsendung von abgestoßenen oder abgestorbenen Früchten, totgeborenen Tieren oder Teilen davon sowie von Nachgeburtsteilen zur Untersuchung auf Brucellose anordnen.</w:t>
      </w:r>
    </w:p>
    <w:p>
      <w:r>
        <w:rPr>
          <w:color w:val="555555"/>
          <w:sz w:val="17"/>
        </w:rPr>
        <w:t xml:space="preserve">Zitiervorschlag: § 7 BrucelloseV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https://recht.nulegal.eu/gesetze/BrucelloseV/7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