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3a BrucelloseV</w:t>
      </w:r>
    </w:p>
    <w:p>
      <w:r>
        <w:rPr>
          <w:color w:val="555555"/>
          <w:sz w:val="18"/>
        </w:rPr>
        <w:t xml:space="preserve">Brucellose-Verordnung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zuständige Behörde kann, soweit dies aus Gründen der Tierseuchenbekämpfung erforderlich ist,</w:t>
      </w:r>
    </w:p>
    <w:p>
      <w:pPr>
        <w:ind w:left="420"/>
      </w:pPr>
      <w:r>
        <w:t xml:space="preserve">1. die Untersuchung eines für die Seuche empfänglichen Tieres oder empfänglicher Tiere eines Bestandes oder innerhalb eines bestimmten Gebietes anordnen,</w:t>
      </w:r>
    </w:p>
    <w:p>
      <w:pPr>
        <w:ind w:left="420"/>
      </w:pPr>
      <w:r>
        <w:t xml:space="preserve">2. die Einrichtung bestimmen, in der die jeweilige Untersuchung durchzuführen ist,</w:t>
      </w:r>
    </w:p>
    <w:p>
      <w:pPr>
        <w:ind w:left="420"/>
      </w:pPr>
      <w:r>
        <w:t xml:space="preserve">3. für die Untersuchung eine in der vom Friedrich-Loeffler-Institut nach § 27 Absatz 5 Nummer 1 des Tiergesundheitsgesetzes herausgegebenen amtlichen Methodensammlung beschriebene Methode vorschreiben und</w:t>
      </w:r>
    </w:p>
    <w:p>
      <w:pPr>
        <w:ind w:left="420"/>
      </w:pPr>
      <w:r>
        <w:t xml:space="preserve">4. das Alter festlegen, in dem die Rinder zu untersuchen sind.</w:t>
      </w:r>
    </w:p>
    <w:p>
      <w:r>
        <w:t xml:space="preserve">Satz 1 Nummer 1 bis 3 gilt für verendete, für die Seuche empfängliche Tiere sowie Aborte während des letzten Drittels der Trächtigkeit und Totgeburten dieser Tiere entsprechend.</w:t>
      </w:r>
    </w:p>
    <w:p>
      <w:r>
        <w:rPr>
          <w:color w:val="555555"/>
          <w:sz w:val="17"/>
        </w:rPr>
        <w:t xml:space="preserve">Zitiervorschlag: § 3a BrucelloseV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https://recht.nulegal.eu/gesetze/BrucelloseV/3a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