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19 findet keine Anwendung, soweit die zuständige Behörde am 30. Mai 2017</w:t>
      </w:r>
    </w:p>
    <w:p>
      <w:pPr>
        <w:ind w:left="420"/>
      </w:pPr>
      <w:r>
        <w:t xml:space="preserve">1. wegen des Verdachts auf Brucellose</w:t>
      </w:r>
    </w:p>
    <w:p>
      <w:pPr>
        <w:ind w:left="780"/>
      </w:pPr>
      <w:r>
        <w:t xml:space="preserve">a) eine Untersuchung bei einem Rind des Bestandes oder</w:t>
      </w:r>
    </w:p>
    <w:p>
      <w:pPr>
        <w:ind w:left="780"/>
      </w:pPr>
      <w:r>
        <w:t xml:space="preserve">b) sonstige Schutzmaßregeln im Hinblick auf den Rinderbestand angeordnet hat oder</w:t>
      </w:r>
    </w:p>
    <w:p>
      <w:pPr>
        <w:ind w:left="420"/>
      </w:pPr>
      <w:r>
        <w:t xml:space="preserve">2. Brucellose in dem Rinderbestand amtlich festgestellt worden ist.</w:t>
      </w:r>
    </w:p>
    <w:p>
      <w:r>
        <w:t xml:space="preserve">Die zuständige Behörde erkennt den Rinderbestand amtlich als brucellosefrei an, soweit die Voraussetzungen nach § 20 Absatz 2 vorliegen.</w:t>
      </w:r>
    </w:p>
    <w:p>
      <w:r>
        <w:rPr>
          <w:color w:val="555555"/>
          <w:sz w:val="17"/>
        </w:rPr>
        <w:t xml:space="preserve">Zitiervorschlag: § 24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