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BrucelloseV</w:t>
      </w:r>
    </w:p>
    <w:p>
      <w:r>
        <w:rPr>
          <w:color w:val="555555"/>
          <w:sz w:val="18"/>
        </w:rPr>
        <w:t xml:space="preserve">Brucellose-Verordnung</w:t>
      </w:r>
    </w:p>
    <w:p>
      <w:r>
        <w:rPr>
          <w:color w:val="555555"/>
          <w:sz w:val="18"/>
        </w:rPr>
        <w:t xml:space="preserve">Stand: 10.06.2019 (konsolidierte Textfassung, kein amtliches Inkrafttretensdatum)</w:t>
      </w:r>
    </w:p>
    <w:p>
      <w:r>
        <w:t xml:space="preserve">Ein Schaf- oder Ziegenbestand, der sich im Inland befindet, das nach Artikel 2 der Entscheidung 93/52/EWG der Kommission vom 21. Dezember 1992 zur Feststellung, dass bestimmte Mitgliedstaaten oder Gebiete die Bedingungen betreffend die Brucellose (Br. melitensis) eingehalten haben, und zur Anerkennung dieser Mitgliedstaaten oder Gebiete als amtlich brucellosefrei (ABl. L 13 vom 21.1.1993, S. 14), zuletzt geändert durch den Durchführungsbeschluss (EU) 2015/129 (ABl. L 21 vom 28.1.2015, S. 18), als amtlich frei von Brucellose anerkannt ist, ist ein amtlich anerkannter brucellosefreier Schaf- oder Ziegenbestand.</w:t>
      </w:r>
    </w:p>
    <w:p>
      <w:r>
        <w:rPr>
          <w:color w:val="555555"/>
          <w:sz w:val="17"/>
        </w:rPr>
        <w:t xml:space="preserve">Zitiervorschlag: § 22 BrucelloseV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https://recht.nulegal.eu/gesetze/BrucelloseV/22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