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BrillVerfMAusbV — Inkrafttreten</w:t>
      </w:r>
    </w:p>
    <w:p>
      <w:r>
        <w:rPr>
          <w:color w:val="555555"/>
          <w:sz w:val="18"/>
        </w:rPr>
        <w:t xml:space="preserve">Verordnung über die Berufsausbildung zum Verfahrensmechaniker für Brillenoptik/zur Verfahrensmechanikerin für Brillenoptik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August 2002 in Kraft.</w:t>
      </w:r>
    </w:p>
    <w:p>
      <w:r>
        <w:rPr>
          <w:color w:val="555555"/>
          <w:sz w:val="17"/>
        </w:rPr>
        <w:t xml:space="preserve">Zitiervorschlag: § 11 BrillVerfMAusbV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https://recht.nulegal.eu/gesetze/BrillVerfMAusbV/11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