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BrexitÜG — Ausnahmen</w:t>
      </w:r>
    </w:p>
    <w:p>
      <w:r>
        <w:rPr>
          <w:color w:val="555555"/>
          <w:sz w:val="18"/>
        </w:rPr>
        <w:t xml:space="preserve">Brexit-Übergangsgesetz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§ 1 ist nicht anzuwenden auf Bestimmungen des Bundesrechts, welche die Ausnahmen umsetzen oder durchführen, die in Artikel 127 Absatz 1, 4, 5 und 7 des Abkommens über den Austritt des Vereinigten Königreichs Großbritannien und Nordirland aus der Europäischen Union und der Europäischen Atomgemeinschaft genannt werden.</w:t>
      </w:r>
    </w:p>
    <w:p>
      <w:r>
        <w:rPr>
          <w:color w:val="555555"/>
          <w:sz w:val="17"/>
        </w:rPr>
        <w:t xml:space="preserve">Zitiervorschlag: § 2 BrexitÜG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https://recht.nulegal.eu/gesetze/Brexit%C3%9CG/2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