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BrexitÜG — Übergangsregelung</w:t>
      </w:r>
    </w:p>
    <w:p>
      <w:r>
        <w:rPr>
          <w:color w:val="555555"/>
          <w:sz w:val="18"/>
        </w:rPr>
        <w:t xml:space="preserve">Brexit-Übergangsgesetz</w:t>
      </w:r>
    </w:p>
    <w:p>
      <w:r>
        <w:rPr>
          <w:color w:val="555555"/>
          <w:sz w:val="18"/>
        </w:rPr>
        <w:t xml:space="preserve">Stand: 13.03.2020 (konsolidierte Textfassung, kein amtliches Inkrafttretensdatum)</w:t>
      </w:r>
    </w:p>
    <w:p>
      <w:r>
        <w:t xml:space="preserve">Während des Übergangszeitraums gemäß dem Vierten Teil des Abkommens über den Austritt des Vereinigten Königreichs Großbritannien und Nordirland aus der Europäischen Union und der Europäischen Atomgemeinschaft (ABl. C 384 I vom 12.11.2019, S. 1) gilt im Bundesrecht vorbehaltlich der in § 2 genannten Ausnahmen das Vereinigte Königreich Großbritannien und Nordirland als Mitgliedstaat der Europäischen Union und der Europäischen Atomgemeinschaft.</w:t>
      </w:r>
    </w:p>
    <w:p>
      <w:r>
        <w:rPr>
          <w:color w:val="555555"/>
          <w:sz w:val="17"/>
        </w:rPr>
        <w:t xml:space="preserve">Zitiervorschlag: § 1 BrexitÜG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https://recht.nulegal.eu/gesetze/Brexit%C3%9CG/1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