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BrennMstrPrV</w:t>
      </w:r>
    </w:p>
    <w:p>
      <w:r>
        <w:rPr>
          <w:color w:val="555555"/>
          <w:sz w:val="18"/>
        </w:rPr>
        <w:t xml:space="preserve">Verordnung über die Anforderungen in der Meisterprüfung für den Beruf Brenner/Brennerin im landwirtschaftlichen Bereich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3 in Verbindung mit Abs. 1 des Berufsbildungsgesetzes vom 23. März 2005 (BGBl. I S. 931), dessen Absätze 1 und 3 durch Artikel 232 Nr. 3 Buchstabe a und b der Verordnung vom 31. Oktober 2006 (BGBl. I S. 2407) geändert worden sind,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BrennMstrPrV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https://recht.nulegal.eu/gesetze/BrennMstrPrV/eingangsformel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