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BrennMstrPrV — Prüfungsanforderungen im Prüfungsteil „Berufsausbildung und Mitarbeiterführung“</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6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