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BrbMstrV</w:t>
      </w:r>
    </w:p>
    <w:p>
      <w:r>
        <w:rPr>
          <w:color w:val="555555"/>
          <w:sz w:val="18"/>
        </w:rPr>
        <w:t xml:space="preserve">Brunnenbauermeisterverordnung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Abs. 1 der Handwerksordnung in der Fassung der Bekanntmachung vom 24. September 1998 (BGBl. I S. 3074), der durch Artikel 1 Nr. 39 des Gesetzes vom 24. Dezember 2003 (BGBl. I S. 2934)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BrbMstrV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https://recht.nulegal.eu/gesetze/BrbMstrV/eingangsformel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