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BrbMstrV — Meisterprüfungsprojekt</w:t>
      </w:r>
    </w:p>
    <w:p>
      <w:r>
        <w:rPr>
          <w:color w:val="555555"/>
          <w:sz w:val="18"/>
        </w:rPr>
        <w:t xml:space="preserve">Brunnenbauermeisterverordnung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der nachfolgenden Aufgaben durchzuführen:</w:t>
      </w:r>
    </w:p>
    <w:p>
      <w:pPr>
        <w:ind w:left="420"/>
      </w:pPr>
      <w:r>
        <w:t xml:space="preserve">1. einen Bohrbrunnen mit Wasserförderanlageoder</w:t>
      </w:r>
    </w:p>
    <w:p>
      <w:pPr>
        <w:ind w:left="420"/>
      </w:pPr>
      <w:r>
        <w:t xml:space="preserve">2. einen Bohrbrunnen mit Abschlussbauwerkoder</w:t>
      </w:r>
    </w:p>
    <w:p>
      <w:pPr>
        <w:ind w:left="420"/>
      </w:pPr>
      <w:r>
        <w:t xml:space="preserve">3. eine Wasserhaltungsanlage</w:t>
      </w:r>
    </w:p>
    <w:p>
      <w:r>
        <w:t xml:space="preserve">entwerfen, planen, kalkulieren, herstellen und dokumentieren.</w:t>
      </w:r>
    </w:p>
    <w:p>
      <w:r>
        <w:t xml:space="preserve">(4) Die Bohrungen bei der Herstellung müssen bei einem Mindestdurchmesser von 400 Millimeter einem Mindestziel von 50 Meter Tiefe oder bei einem Mindestdurchmesser von 600 Millimeter einem Mindestziel von 30 Meter Tiefe entsprechen und einen Mindestausbaudurchmesser von 150 Millimeter aufweisen.</w:t>
      </w:r>
    </w:p>
    <w:p>
      <w:r>
        <w:t xml:space="preserve">(5) Die Entwurfs-, Planungs- und Kalkulationsunterlagen werden mit 20 vom Hundert, die durchgeführten Arbeiten mit 60 vom Hundert und die Dokumentationsunterlagen mit 20 vom Hundert gewichtet.</w:t>
      </w:r>
    </w:p>
    <w:p>
      <w:r>
        <w:rPr>
          <w:color w:val="555555"/>
          <w:sz w:val="17"/>
        </w:rPr>
        <w:t xml:space="preserve">Zitiervorschlag: § 4 BrbMstrV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https://recht.nulegal.eu/gesetze/BrbMstrV/4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