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BrauMäAusbV — Inhalt von Teil 1</w:t>
      </w:r>
    </w:p>
    <w:p>
      <w:r>
        <w:rPr>
          <w:color w:val="555555"/>
          <w:sz w:val="18"/>
        </w:rPr>
        <w:t xml:space="preserve">Brauer- und Mälzerausbildungsverordnung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Abschluss- oder Gesellenprüfung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BrauMäAusbV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https://recht.nulegal.eu/gesetze/BrauM%C3%A4AusbV/7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BrauMäAusbV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